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2316F">
      <w:pPr>
        <w:spacing w:before="100" w:beforeAutospacing="1" w:after="100" w:afterAutospacing="1" w:line="360" w:lineRule="auto"/>
        <w:jc w:val="center"/>
        <w:rPr>
          <w:rFonts w:asciiTheme="minorEastAsia" w:hAnsiTheme="minorEastAsia"/>
          <w:b/>
          <w:sz w:val="32"/>
          <w:szCs w:val="32"/>
        </w:rPr>
      </w:pPr>
      <w:r>
        <w:rPr>
          <w:rFonts w:hint="eastAsia" w:asciiTheme="minorEastAsia" w:hAnsiTheme="minorEastAsia"/>
          <w:b/>
          <w:sz w:val="32"/>
          <w:szCs w:val="32"/>
        </w:rPr>
        <w:t>语言文化学院</w:t>
      </w:r>
      <w:r>
        <w:rPr>
          <w:rFonts w:asciiTheme="minorEastAsia" w:hAnsiTheme="minorEastAsia"/>
          <w:b/>
          <w:sz w:val="32"/>
          <w:szCs w:val="32"/>
        </w:rPr>
        <w:t>推荐优秀应届本科毕业生免试攻读研究生</w:t>
      </w:r>
    </w:p>
    <w:p w14:paraId="61AF2AD1">
      <w:pPr>
        <w:spacing w:before="100" w:beforeAutospacing="1" w:after="100" w:afterAutospacing="1" w:line="360" w:lineRule="auto"/>
        <w:jc w:val="center"/>
        <w:rPr>
          <w:rFonts w:asciiTheme="minorEastAsia" w:hAnsiTheme="minorEastAsia"/>
          <w:b/>
          <w:sz w:val="32"/>
          <w:szCs w:val="32"/>
        </w:rPr>
      </w:pPr>
      <w:r>
        <w:rPr>
          <w:rFonts w:asciiTheme="minorEastAsia" w:hAnsiTheme="minorEastAsia"/>
          <w:b/>
          <w:sz w:val="32"/>
          <w:szCs w:val="32"/>
        </w:rPr>
        <w:t>实施细则</w:t>
      </w:r>
    </w:p>
    <w:p w14:paraId="180A764F">
      <w:pPr>
        <w:spacing w:line="640" w:lineRule="exact"/>
        <w:jc w:val="center"/>
        <w:rPr>
          <w:rFonts w:ascii="仿宋" w:hAnsi="仿宋" w:eastAsia="仿宋" w:cs="仿宋"/>
          <w:b/>
          <w:sz w:val="28"/>
          <w:szCs w:val="28"/>
        </w:rPr>
      </w:pPr>
      <w:r>
        <w:rPr>
          <w:rFonts w:hint="eastAsia" w:ascii="仿宋" w:hAnsi="仿宋" w:eastAsia="仿宋" w:cs="仿宋"/>
          <w:b/>
          <w:sz w:val="28"/>
          <w:szCs w:val="28"/>
        </w:rPr>
        <w:t>第一章 总则</w:t>
      </w:r>
    </w:p>
    <w:p w14:paraId="64697B21">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第一条 </w:t>
      </w:r>
      <w:r>
        <w:rPr>
          <w:rFonts w:hint="eastAsia" w:ascii="仿宋" w:hAnsi="仿宋" w:eastAsia="仿宋" w:cs="仿宋"/>
          <w:sz w:val="28"/>
          <w:szCs w:val="28"/>
        </w:rPr>
        <w:t xml:space="preserve">为进一步规范推荐优秀应届本科毕业生免试攻读研究生（以下简称“推免”）工作， 根据《西北农林科技大学推荐优秀应届本科毕业生免试攻读研究生实施办法》（校研发〔2024〕236号）》和学校《关于做好2026年推荐优秀应届本科毕业生免试攻读研究生工作的通知》有关规定，结合学院实际，特制定本细则。 </w:t>
      </w:r>
    </w:p>
    <w:p w14:paraId="3DA5974D">
      <w:pPr>
        <w:spacing w:line="640" w:lineRule="exact"/>
        <w:ind w:firstLine="562" w:firstLineChars="200"/>
        <w:rPr>
          <w:rFonts w:ascii="仿宋" w:hAnsi="仿宋" w:eastAsia="仿宋" w:cs="仿宋"/>
          <w:bCs/>
          <w:color w:val="0000FF"/>
          <w:sz w:val="28"/>
          <w:szCs w:val="28"/>
        </w:rPr>
      </w:pPr>
      <w:r>
        <w:rPr>
          <w:rFonts w:hint="eastAsia" w:ascii="仿宋" w:hAnsi="仿宋" w:eastAsia="仿宋" w:cs="仿宋"/>
          <w:b/>
          <w:sz w:val="28"/>
          <w:szCs w:val="28"/>
        </w:rPr>
        <w:t>第二条</w:t>
      </w:r>
      <w:r>
        <w:rPr>
          <w:rFonts w:hint="eastAsia" w:ascii="仿宋" w:hAnsi="仿宋" w:eastAsia="仿宋" w:cs="仿宋"/>
          <w:bCs/>
          <w:sz w:val="28"/>
          <w:szCs w:val="28"/>
        </w:rPr>
        <w:t xml:space="preserve"> </w:t>
      </w:r>
      <w:r>
        <w:rPr>
          <w:rFonts w:hint="eastAsia" w:ascii="仿宋" w:hAnsi="仿宋" w:eastAsia="仿宋" w:cs="仿宋"/>
          <w:bCs/>
          <w:color w:val="000000" w:themeColor="text1"/>
          <w:sz w:val="28"/>
          <w:szCs w:val="28"/>
          <w14:textFill>
            <w14:solidFill>
              <w14:schemeClr w14:val="tx1"/>
            </w14:solidFill>
          </w14:textFill>
        </w:rPr>
        <w:t>本细则所称的应届本科毕业生是指我校纳入国家普通本科招生计划录取的应届本科毕业生（不含第二学士学位学生）。</w:t>
      </w:r>
    </w:p>
    <w:p w14:paraId="14AA378C">
      <w:pPr>
        <w:spacing w:line="640" w:lineRule="exact"/>
        <w:jc w:val="center"/>
        <w:rPr>
          <w:rFonts w:ascii="仿宋" w:hAnsi="仿宋" w:eastAsia="仿宋" w:cs="仿宋"/>
          <w:b/>
          <w:sz w:val="28"/>
          <w:szCs w:val="28"/>
        </w:rPr>
      </w:pPr>
      <w:r>
        <w:rPr>
          <w:rFonts w:hint="eastAsia" w:ascii="仿宋" w:hAnsi="仿宋" w:eastAsia="仿宋" w:cs="仿宋"/>
          <w:b/>
          <w:sz w:val="28"/>
          <w:szCs w:val="28"/>
        </w:rPr>
        <w:t xml:space="preserve">第二章 组织管理 </w:t>
      </w:r>
    </w:p>
    <w:p w14:paraId="6121AFC7">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第三条 </w:t>
      </w:r>
      <w:r>
        <w:rPr>
          <w:rFonts w:hint="eastAsia" w:ascii="仿宋" w:hAnsi="仿宋" w:eastAsia="仿宋" w:cs="仿宋"/>
          <w:sz w:val="28"/>
          <w:szCs w:val="28"/>
        </w:rPr>
        <w:t xml:space="preserve">学院成立推免生遴选工作组，组长由书记、院长担任，成员由分管研究生工作的副院长、分管本科教学的副院长、分管学生思想政治工作的副书记、相关教师代表及管理干部组成。具体负责落实学校推免政策、制定本单位实施细则，并组织实施本单位推免生遴选工作。 </w:t>
      </w:r>
    </w:p>
    <w:p w14:paraId="64614ECA">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第四条 </w:t>
      </w:r>
      <w:r>
        <w:rPr>
          <w:rFonts w:hint="eastAsia" w:ascii="仿宋" w:hAnsi="仿宋" w:eastAsia="仿宋" w:cs="仿宋"/>
          <w:sz w:val="28"/>
          <w:szCs w:val="28"/>
        </w:rPr>
        <w:t>学院成立推免生遴选监督工作小组，组长由副书记担任，成员由纪检委员、党务秘书和导师代表组成，负责制定本单位监督管理细则，监督推免生遴选，受理本单位有关申述及违纪、违规行为的调查，确保推免工作的公平、公正、公开。</w:t>
      </w:r>
    </w:p>
    <w:p w14:paraId="04189200">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第五条 </w:t>
      </w:r>
      <w:r>
        <w:rPr>
          <w:rFonts w:hint="eastAsia" w:ascii="仿宋" w:hAnsi="仿宋" w:eastAsia="仿宋" w:cs="仿宋"/>
          <w:sz w:val="28"/>
          <w:szCs w:val="28"/>
        </w:rPr>
        <w:t>学院成立不少于5人的考核小组，考核小组从推免生遴选工作小组成员、教授委员会成员、导师代表、专业教师代表中产生，具体负责学生专业发展能力考核工作。</w:t>
      </w:r>
    </w:p>
    <w:p w14:paraId="3DA5ABB8">
      <w:pPr>
        <w:spacing w:line="640" w:lineRule="exact"/>
        <w:jc w:val="center"/>
        <w:rPr>
          <w:rFonts w:ascii="仿宋" w:hAnsi="仿宋" w:eastAsia="仿宋" w:cs="仿宋"/>
          <w:b/>
          <w:sz w:val="28"/>
          <w:szCs w:val="28"/>
        </w:rPr>
      </w:pPr>
      <w:r>
        <w:rPr>
          <w:rFonts w:hint="eastAsia" w:ascii="仿宋" w:hAnsi="仿宋" w:eastAsia="仿宋" w:cs="仿宋"/>
          <w:b/>
          <w:sz w:val="28"/>
          <w:szCs w:val="28"/>
        </w:rPr>
        <w:t xml:space="preserve"> 第三章 遴选条件 </w:t>
      </w:r>
    </w:p>
    <w:p w14:paraId="17B981A5">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第六条 </w:t>
      </w:r>
      <w:r>
        <w:rPr>
          <w:rFonts w:hint="eastAsia" w:ascii="仿宋" w:hAnsi="仿宋" w:eastAsia="仿宋" w:cs="仿宋"/>
          <w:sz w:val="28"/>
          <w:szCs w:val="28"/>
        </w:rPr>
        <w:t xml:space="preserve">推免生遴选基本条件如下： </w:t>
      </w:r>
    </w:p>
    <w:p w14:paraId="42AF5B93">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1.拥护中国共产党的领导和社会主义制度，具有高尚的爱国主义情操和集体主义精神，社会责任感强，遵纪守法，积极向上，身心健康。</w:t>
      </w:r>
    </w:p>
    <w:p w14:paraId="5C58FEED">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2.诚实守信，学风端正，品行优良，无考试作弊或剽窃他人学术成果等学术不端行为。</w:t>
      </w:r>
    </w:p>
    <w:p w14:paraId="5D38B2D9">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3.获得本科前三学年(五年制本科为前四学年)应修课程全部学分，且课程学分成绩排名在专业年级前50%。</w:t>
      </w:r>
    </w:p>
    <w:p w14:paraId="6332061F">
      <w:pPr>
        <w:spacing w:line="6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4.外语成绩：非英语专业学生的全国英语四级考试成绩在425 分及以上或外语小语种四级成绩在 60 分及以上；英语专业学生的英语专业四级成绩在 60 分及以上；俄语专业学生的俄语专业四级成绩在 60 分及以上。</w:t>
      </w:r>
    </w:p>
    <w:p w14:paraId="1121C48E">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5.具有从事科学研究志向，具有较强的创新意识、创新潜质和创新能力，且符合学院科研潜质考核要求。 </w:t>
      </w:r>
    </w:p>
    <w:p w14:paraId="577E47A3">
      <w:pPr>
        <w:spacing w:line="640" w:lineRule="exact"/>
        <w:jc w:val="center"/>
        <w:rPr>
          <w:rFonts w:ascii="仿宋" w:hAnsi="仿宋" w:eastAsia="仿宋" w:cs="仿宋"/>
          <w:b/>
          <w:sz w:val="28"/>
          <w:szCs w:val="28"/>
        </w:rPr>
      </w:pPr>
      <w:r>
        <w:rPr>
          <w:rFonts w:hint="eastAsia" w:ascii="仿宋" w:hAnsi="仿宋" w:eastAsia="仿宋" w:cs="仿宋"/>
          <w:b/>
          <w:sz w:val="28"/>
          <w:szCs w:val="28"/>
        </w:rPr>
        <w:t xml:space="preserve">第四章 综合考核 </w:t>
      </w:r>
    </w:p>
    <w:p w14:paraId="228F2011">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第七条 </w:t>
      </w:r>
      <w:r>
        <w:rPr>
          <w:rFonts w:hint="eastAsia" w:ascii="仿宋" w:hAnsi="仿宋" w:eastAsia="仿宋" w:cs="仿宋"/>
          <w:sz w:val="28"/>
          <w:szCs w:val="28"/>
        </w:rPr>
        <w:t>对于符合遴选条件且申请推荐资格的学生，学院从思想政治品德、学业成绩、科研潜质三个方面进行综合考核。</w:t>
      </w:r>
    </w:p>
    <w:p w14:paraId="67CDFC92">
      <w:pPr>
        <w:spacing w:line="640" w:lineRule="exact"/>
        <w:ind w:firstLine="560" w:firstLineChars="200"/>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14:textFill>
            <w14:solidFill>
              <w14:schemeClr w14:val="tx1"/>
            </w14:solidFill>
          </w14:textFill>
        </w:rPr>
        <w:t>综合考核总成绩满分为100分，由思想政治品德考核成绩、学业成绩和科研潜质成绩三部分组成，其中思想政治品德考核成绩占综合考核成绩的10%、学业成绩占综合考核成绩的40%、科研潜质成绩占综</w:t>
      </w:r>
      <w:r>
        <w:rPr>
          <w:rFonts w:hint="eastAsia" w:ascii="仿宋" w:hAnsi="仿宋" w:eastAsia="仿宋" w:cs="仿宋"/>
          <w:color w:val="000000" w:themeColor="text1"/>
          <w:sz w:val="28"/>
          <w:szCs w:val="28"/>
          <w14:textFill>
            <w14:solidFill>
              <w14:schemeClr w14:val="tx1"/>
            </w14:solidFill>
          </w14:textFill>
        </w:rPr>
        <w:t>合考核成绩的50%。科研潜质由科研能力、外语成绩[专业英语四级成绩(英语专业）、全国大学英语四级成绩（汉教专业）、俄语专业四级成绩（俄语专业）]、专业发展能力等三项指标计算生成，三项指标分别占综合考核成绩的15%、10%、25%。</w:t>
      </w:r>
    </w:p>
    <w:p w14:paraId="645F696B">
      <w:pPr>
        <w:spacing w:line="6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综合考核成绩=思想政治品德考核成绩+学业成绩+科研能力成绩+外语成绩+专业发展能力成绩。综合考核成绩是学院择优推荐排名的依据。</w:t>
      </w:r>
    </w:p>
    <w:p w14:paraId="3B5C1BCB">
      <w:pPr>
        <w:spacing w:line="6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其中，思想政治品德考核成绩、学业成绩、科研能力成绩、外语成绩和专业发展能力成绩等五项指标的满值均为100 分。</w:t>
      </w:r>
    </w:p>
    <w:p w14:paraId="57A30021">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第八条 </w:t>
      </w:r>
      <w:r>
        <w:rPr>
          <w:rFonts w:hint="eastAsia" w:ascii="仿宋" w:hAnsi="仿宋" w:eastAsia="仿宋" w:cs="仿宋"/>
          <w:sz w:val="28"/>
          <w:szCs w:val="28"/>
        </w:rPr>
        <w:t>思想政治品德考核成绩由学院学生工作办公室依据党委学工部制定的评分实施细则计算。</w:t>
      </w:r>
    </w:p>
    <w:p w14:paraId="2348D379">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第九条 </w:t>
      </w:r>
      <w:r>
        <w:rPr>
          <w:rFonts w:hint="eastAsia" w:ascii="仿宋" w:hAnsi="仿宋" w:eastAsia="仿宋" w:cs="仿宋"/>
          <w:sz w:val="28"/>
          <w:szCs w:val="28"/>
        </w:rPr>
        <w:t>学业成绩由学院教学办公室依据教务处教务管理系统导出的成绩计算。</w:t>
      </w:r>
    </w:p>
    <w:p w14:paraId="3BE5887F">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第十条 </w:t>
      </w:r>
      <w:r>
        <w:rPr>
          <w:rFonts w:hint="eastAsia" w:ascii="仿宋" w:hAnsi="仿宋" w:eastAsia="仿宋" w:cs="仿宋"/>
          <w:sz w:val="28"/>
          <w:szCs w:val="28"/>
        </w:rPr>
        <w:t xml:space="preserve">科研能力测评指标包括参军入伍服兵役、参加志愿服务、到国际组织实习、发表论文、参加各级学科竞赛、参加创新创业项目等，具体评分细则见附件1。 </w:t>
      </w:r>
    </w:p>
    <w:p w14:paraId="6FB24B2C">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第十一条 </w:t>
      </w:r>
      <w:r>
        <w:rPr>
          <w:rFonts w:hint="eastAsia" w:ascii="仿宋" w:hAnsi="仿宋" w:eastAsia="仿宋" w:cs="仿宋"/>
          <w:sz w:val="28"/>
          <w:szCs w:val="28"/>
        </w:rPr>
        <w:t xml:space="preserve">专业发展能力成绩由考核小组打分确定。考核小组主要从语言表达(25分）、逻辑思维（25分）、科研素质（25分）、研究设想（25分）等四个方面综合考核。考核小组对学生的具体表现进行综合打分，考核成绩为成员打分成绩的平均值。 </w:t>
      </w:r>
    </w:p>
    <w:p w14:paraId="25FACB6D">
      <w:pPr>
        <w:spacing w:line="640" w:lineRule="exact"/>
        <w:jc w:val="center"/>
        <w:rPr>
          <w:rFonts w:ascii="仿宋" w:hAnsi="仿宋" w:eastAsia="仿宋" w:cs="仿宋"/>
          <w:b/>
          <w:sz w:val="28"/>
          <w:szCs w:val="28"/>
        </w:rPr>
      </w:pPr>
      <w:r>
        <w:rPr>
          <w:rFonts w:hint="eastAsia" w:ascii="仿宋" w:hAnsi="仿宋" w:eastAsia="仿宋" w:cs="仿宋"/>
          <w:b/>
          <w:sz w:val="28"/>
          <w:szCs w:val="28"/>
        </w:rPr>
        <w:t xml:space="preserve">第五章 推免程序 </w:t>
      </w:r>
    </w:p>
    <w:p w14:paraId="215AD291">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第十二条</w:t>
      </w:r>
      <w:r>
        <w:rPr>
          <w:rFonts w:hint="eastAsia" w:ascii="仿宋" w:hAnsi="仿宋" w:eastAsia="仿宋" w:cs="仿宋"/>
          <w:sz w:val="28"/>
          <w:szCs w:val="28"/>
        </w:rPr>
        <w:t xml:space="preserve"> 学院公布符合推免要求的学生名单及《语言文化学院推荐优秀应届本科毕业生免试攻读研究生实施细则》，申请推免的学生须提交科研成果的相关证明材料。 </w:t>
      </w:r>
    </w:p>
    <w:p w14:paraId="344CC078">
      <w:pPr>
        <w:pStyle w:val="6"/>
        <w:widowControl/>
        <w:spacing w:beforeAutospacing="0" w:afterAutospacing="0" w:line="640" w:lineRule="exact"/>
        <w:ind w:left="150" w:right="150" w:firstLine="420"/>
        <w:rPr>
          <w:rFonts w:ascii="仿宋" w:hAnsi="仿宋" w:eastAsia="仿宋" w:cs="仿宋"/>
          <w:sz w:val="28"/>
          <w:szCs w:val="28"/>
        </w:rPr>
      </w:pPr>
      <w:r>
        <w:rPr>
          <w:rFonts w:hint="eastAsia" w:ascii="仿宋" w:hAnsi="仿宋" w:eastAsia="仿宋" w:cs="仿宋"/>
          <w:b/>
          <w:sz w:val="28"/>
          <w:szCs w:val="28"/>
        </w:rPr>
        <w:t xml:space="preserve">第十三条 </w:t>
      </w:r>
      <w:r>
        <w:rPr>
          <w:rFonts w:hint="eastAsia" w:ascii="仿宋" w:hAnsi="仿宋" w:eastAsia="仿宋" w:cs="仿宋"/>
          <w:sz w:val="28"/>
          <w:szCs w:val="28"/>
        </w:rPr>
        <w:t>推免生遴选工作组对申请推免学生的思想政治品德成绩、学业成绩、外语成绩</w:t>
      </w:r>
      <w:r>
        <w:rPr>
          <w:rFonts w:hint="eastAsia" w:ascii="仿宋" w:hAnsi="仿宋" w:eastAsia="仿宋" w:cs="仿宋"/>
          <w:color w:val="000000" w:themeColor="text1"/>
          <w:sz w:val="28"/>
          <w:szCs w:val="28"/>
          <w14:textFill>
            <w14:solidFill>
              <w14:schemeClr w14:val="tx1"/>
            </w14:solidFill>
          </w14:textFill>
        </w:rPr>
        <w:t>[专业英语四级成绩(英语专业）、全国大学英语四级成绩（汉教专业）、俄语专业四级成绩（俄语专业）]</w:t>
      </w:r>
      <w:r>
        <w:rPr>
          <w:rFonts w:hint="eastAsia" w:ascii="仿宋" w:hAnsi="仿宋" w:eastAsia="仿宋" w:cs="仿宋"/>
          <w:sz w:val="28"/>
          <w:szCs w:val="28"/>
        </w:rPr>
        <w:t>、科研能力、专业发展能力等进行认定和审核，考核小组对申请推免学生进行专业发展能力考核，推免生遴选工作组依据综合考核成绩由高到低排名并依据学校分配的推免生指标数，择优确定具有推荐资格的学生名单，并在学院网站</w:t>
      </w:r>
      <w:r>
        <w:rPr>
          <w:rFonts w:ascii="仿宋" w:hAnsi="仿宋" w:eastAsia="仿宋" w:cs="仿宋"/>
          <w:sz w:val="28"/>
          <w:szCs w:val="28"/>
        </w:rPr>
        <w:t>公示3个工作日，无异议后报学校研究生院。</w:t>
      </w:r>
    </w:p>
    <w:p w14:paraId="7F80937B">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 xml:space="preserve">第十四条 </w:t>
      </w:r>
      <w:r>
        <w:rPr>
          <w:rFonts w:hint="eastAsia" w:ascii="仿宋" w:hAnsi="仿宋" w:eastAsia="仿宋" w:cs="仿宋"/>
          <w:sz w:val="28"/>
          <w:szCs w:val="28"/>
        </w:rPr>
        <w:t>申请推免的学生，如对结果有异议，可以在公示期内向学院推免生遴选工作监督小组（029-87092629）或学校推免生遴选</w:t>
      </w:r>
      <w:r>
        <w:rPr>
          <w:rFonts w:hint="eastAsia" w:ascii="仿宋" w:hAnsi="仿宋" w:eastAsia="仿宋" w:cs="仿宋"/>
          <w:sz w:val="28"/>
          <w:szCs w:val="28"/>
          <w:lang w:eastAsia="zh-CN"/>
        </w:rPr>
        <w:t>监督</w:t>
      </w:r>
      <w:r>
        <w:rPr>
          <w:rFonts w:hint="eastAsia" w:ascii="仿宋" w:hAnsi="仿宋" w:eastAsia="仿宋" w:cs="仿宋"/>
          <w:sz w:val="28"/>
          <w:szCs w:val="28"/>
        </w:rPr>
        <w:t xml:space="preserve">工作组（电话：029-87080155；邮箱：ybgsh@nwafu.edu.cn）提出复议申请。 </w:t>
      </w:r>
    </w:p>
    <w:p w14:paraId="02A6D85D">
      <w:pPr>
        <w:spacing w:line="640" w:lineRule="exact"/>
        <w:jc w:val="center"/>
        <w:rPr>
          <w:rFonts w:ascii="仿宋" w:hAnsi="仿宋" w:eastAsia="仿宋" w:cs="仿宋"/>
          <w:b/>
          <w:sz w:val="28"/>
          <w:szCs w:val="28"/>
        </w:rPr>
      </w:pPr>
      <w:r>
        <w:rPr>
          <w:rFonts w:hint="eastAsia" w:ascii="仿宋" w:hAnsi="仿宋" w:eastAsia="仿宋" w:cs="仿宋"/>
          <w:b/>
          <w:sz w:val="28"/>
          <w:szCs w:val="28"/>
        </w:rPr>
        <w:t xml:space="preserve">第六章 其他 </w:t>
      </w:r>
    </w:p>
    <w:p w14:paraId="55C712DE">
      <w:pPr>
        <w:spacing w:line="640" w:lineRule="exact"/>
        <w:ind w:firstLine="562" w:firstLineChars="200"/>
        <w:rPr>
          <w:rFonts w:hint="eastAsia" w:ascii="仿宋" w:hAnsi="仿宋" w:eastAsia="仿宋" w:cs="仿宋"/>
          <w:bCs/>
          <w:sz w:val="28"/>
          <w:szCs w:val="28"/>
        </w:rPr>
      </w:pPr>
      <w:r>
        <w:rPr>
          <w:rFonts w:hint="eastAsia" w:ascii="仿宋" w:hAnsi="仿宋" w:eastAsia="仿宋" w:cs="仿宋"/>
          <w:b/>
          <w:sz w:val="28"/>
          <w:szCs w:val="28"/>
        </w:rPr>
        <w:t xml:space="preserve">第十五条 </w:t>
      </w:r>
      <w:r>
        <w:rPr>
          <w:rFonts w:hint="eastAsia" w:ascii="仿宋" w:hAnsi="仿宋" w:eastAsia="仿宋" w:cs="仿宋"/>
          <w:bCs/>
          <w:sz w:val="28"/>
          <w:szCs w:val="28"/>
        </w:rPr>
        <w:t xml:space="preserve">选择攻读西北农林科技大学研究生的推免生须填写推荐免试攻读研究生承诺书，经所在学院主管院长签字确认后提交所在学院保管。 </w:t>
      </w:r>
    </w:p>
    <w:p w14:paraId="512BB97F">
      <w:pPr>
        <w:spacing w:line="640" w:lineRule="exact"/>
        <w:ind w:firstLine="562" w:firstLineChars="200"/>
        <w:rPr>
          <w:rFonts w:ascii="仿宋" w:hAnsi="仿宋" w:eastAsia="仿宋" w:cs="仿宋"/>
          <w:sz w:val="28"/>
          <w:szCs w:val="28"/>
        </w:rPr>
      </w:pPr>
      <w:r>
        <w:rPr>
          <w:rFonts w:hint="eastAsia" w:ascii="仿宋" w:hAnsi="仿宋" w:eastAsia="仿宋" w:cs="仿宋"/>
          <w:b/>
          <w:sz w:val="28"/>
          <w:szCs w:val="28"/>
        </w:rPr>
        <w:t>第十</w:t>
      </w:r>
      <w:r>
        <w:rPr>
          <w:rFonts w:hint="eastAsia" w:ascii="仿宋" w:hAnsi="仿宋" w:eastAsia="仿宋" w:cs="仿宋"/>
          <w:b/>
          <w:sz w:val="28"/>
          <w:szCs w:val="28"/>
          <w:lang w:eastAsia="zh-CN"/>
        </w:rPr>
        <w:t>六</w:t>
      </w:r>
      <w:r>
        <w:rPr>
          <w:rFonts w:hint="eastAsia" w:ascii="仿宋" w:hAnsi="仿宋" w:eastAsia="仿宋" w:cs="仿宋"/>
          <w:b/>
          <w:sz w:val="28"/>
          <w:szCs w:val="28"/>
        </w:rPr>
        <w:t xml:space="preserve">条 </w:t>
      </w:r>
      <w:r>
        <w:rPr>
          <w:rFonts w:hint="eastAsia" w:ascii="仿宋" w:hAnsi="仿宋" w:eastAsia="仿宋" w:cs="仿宋"/>
          <w:sz w:val="28"/>
          <w:szCs w:val="28"/>
        </w:rPr>
        <w:t>推免生出现下列情况之一，按有关规定处理，并取消其推免资格或入学资格：</w:t>
      </w:r>
    </w:p>
    <w:p w14:paraId="15782EBB">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（一）弄虚作假、缺乏诚信者。</w:t>
      </w:r>
    </w:p>
    <w:p w14:paraId="3EA57D7F">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（二）思想政治品德考核不合格或考核成绩小于60分者。</w:t>
      </w:r>
    </w:p>
    <w:p w14:paraId="6DCC4880">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（三）受学校纪律处分，在处分期内者。</w:t>
      </w:r>
      <w:bookmarkStart w:id="3" w:name="_GoBack"/>
      <w:bookmarkEnd w:id="3"/>
    </w:p>
    <w:p w14:paraId="51064EC2">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（四）在规定学习年限内不能按期毕业取得学士学位者。</w:t>
      </w:r>
    </w:p>
    <w:p w14:paraId="7A0856D8">
      <w:pPr>
        <w:spacing w:line="640" w:lineRule="exact"/>
        <w:ind w:firstLine="562" w:firstLineChars="200"/>
        <w:jc w:val="right"/>
        <w:rPr>
          <w:rFonts w:ascii="仿宋" w:hAnsi="仿宋" w:eastAsia="仿宋" w:cs="仿宋"/>
          <w:sz w:val="28"/>
          <w:szCs w:val="28"/>
        </w:rPr>
      </w:pPr>
      <w:r>
        <w:rPr>
          <w:rFonts w:hint="eastAsia" w:ascii="仿宋" w:hAnsi="仿宋" w:eastAsia="仿宋" w:cs="仿宋"/>
          <w:b/>
          <w:sz w:val="28"/>
          <w:szCs w:val="28"/>
        </w:rPr>
        <w:t>第十</w:t>
      </w:r>
      <w:r>
        <w:rPr>
          <w:rFonts w:hint="eastAsia" w:ascii="仿宋" w:hAnsi="仿宋" w:eastAsia="仿宋" w:cs="仿宋"/>
          <w:b/>
          <w:sz w:val="28"/>
          <w:szCs w:val="28"/>
          <w:lang w:eastAsia="zh-CN"/>
        </w:rPr>
        <w:t>七</w:t>
      </w:r>
      <w:r>
        <w:rPr>
          <w:rFonts w:hint="eastAsia" w:ascii="仿宋" w:hAnsi="仿宋" w:eastAsia="仿宋" w:cs="仿宋"/>
          <w:b/>
          <w:sz w:val="28"/>
          <w:szCs w:val="28"/>
        </w:rPr>
        <w:t xml:space="preserve">条 </w:t>
      </w:r>
      <w:r>
        <w:rPr>
          <w:rFonts w:hint="eastAsia" w:ascii="仿宋" w:hAnsi="仿宋" w:eastAsia="仿宋" w:cs="仿宋"/>
          <w:sz w:val="28"/>
          <w:szCs w:val="28"/>
        </w:rPr>
        <w:t>本细则自公布之日起实施，由语言文化学院负责解释。    语言文化学院</w:t>
      </w:r>
    </w:p>
    <w:p w14:paraId="2CF88BAA">
      <w:pPr>
        <w:spacing w:line="640" w:lineRule="exact"/>
        <w:ind w:firstLine="560" w:firstLineChars="200"/>
        <w:jc w:val="right"/>
        <w:rPr>
          <w:rFonts w:ascii="仿宋" w:hAnsi="仿宋" w:eastAsia="仿宋" w:cs="仿宋"/>
          <w:sz w:val="28"/>
          <w:szCs w:val="28"/>
        </w:rPr>
      </w:pPr>
      <w:r>
        <w:rPr>
          <w:rFonts w:hint="eastAsia" w:ascii="仿宋" w:hAnsi="仿宋" w:eastAsia="仿宋" w:cs="仿宋"/>
          <w:sz w:val="28"/>
          <w:szCs w:val="28"/>
        </w:rPr>
        <w:t>2025年9月9日</w:t>
      </w:r>
    </w:p>
    <w:p w14:paraId="22252EB8">
      <w:pPr>
        <w:spacing w:line="640" w:lineRule="exact"/>
        <w:ind w:firstLine="562" w:firstLineChars="200"/>
        <w:rPr>
          <w:rFonts w:asciiTheme="minorEastAsia" w:hAnsiTheme="minorEastAsia"/>
          <w:sz w:val="28"/>
          <w:szCs w:val="28"/>
        </w:rPr>
      </w:pPr>
      <w:r>
        <w:rPr>
          <w:rFonts w:hint="eastAsia" w:ascii="仿宋" w:hAnsi="仿宋" w:eastAsia="仿宋" w:cs="仿宋"/>
          <w:b/>
          <w:sz w:val="28"/>
          <w:szCs w:val="28"/>
        </w:rPr>
        <w:t>附件：</w:t>
      </w:r>
      <w:r>
        <w:rPr>
          <w:rFonts w:hint="eastAsia" w:ascii="仿宋" w:hAnsi="仿宋" w:eastAsia="仿宋" w:cs="仿宋"/>
          <w:sz w:val="28"/>
          <w:szCs w:val="28"/>
        </w:rPr>
        <w:t>语言文化学院推荐免试研究生科研能力评分细则</w:t>
      </w:r>
    </w:p>
    <w:p w14:paraId="5612C183">
      <w:pPr>
        <w:rPr>
          <w:rFonts w:ascii="仿宋" w:hAnsi="仿宋" w:eastAsia="仿宋" w:cs="仿宋"/>
          <w:b/>
          <w:sz w:val="28"/>
          <w:szCs w:val="28"/>
        </w:rPr>
      </w:pPr>
    </w:p>
    <w:p w14:paraId="1F5C19B4">
      <w:pPr>
        <w:rPr>
          <w:rFonts w:ascii="仿宋" w:hAnsi="仿宋" w:eastAsia="仿宋" w:cs="仿宋"/>
          <w:b/>
          <w:sz w:val="28"/>
          <w:szCs w:val="28"/>
        </w:rPr>
      </w:pPr>
    </w:p>
    <w:p w14:paraId="2231A452">
      <w:pPr>
        <w:rPr>
          <w:rFonts w:ascii="仿宋" w:hAnsi="仿宋" w:eastAsia="仿宋" w:cs="仿宋"/>
          <w:b/>
          <w:sz w:val="28"/>
          <w:szCs w:val="28"/>
        </w:rPr>
      </w:pPr>
    </w:p>
    <w:p w14:paraId="06CECC76">
      <w:pPr>
        <w:rPr>
          <w:rFonts w:ascii="仿宋" w:hAnsi="仿宋" w:eastAsia="仿宋" w:cs="仿宋"/>
          <w:b/>
          <w:sz w:val="28"/>
          <w:szCs w:val="28"/>
        </w:rPr>
      </w:pPr>
    </w:p>
    <w:p w14:paraId="3092C8AD">
      <w:pPr>
        <w:rPr>
          <w:rFonts w:ascii="仿宋" w:hAnsi="仿宋" w:eastAsia="仿宋" w:cs="仿宋"/>
          <w:b/>
          <w:sz w:val="28"/>
          <w:szCs w:val="28"/>
        </w:rPr>
      </w:pPr>
    </w:p>
    <w:p w14:paraId="71A7F1B2">
      <w:pPr>
        <w:rPr>
          <w:rFonts w:ascii="仿宋" w:hAnsi="仿宋" w:eastAsia="仿宋" w:cs="仿宋"/>
          <w:b/>
          <w:sz w:val="28"/>
          <w:szCs w:val="28"/>
        </w:rPr>
      </w:pPr>
    </w:p>
    <w:p w14:paraId="6145754C">
      <w:pPr>
        <w:rPr>
          <w:rFonts w:ascii="仿宋" w:hAnsi="仿宋" w:eastAsia="仿宋" w:cs="仿宋"/>
          <w:b/>
          <w:sz w:val="28"/>
          <w:szCs w:val="28"/>
        </w:rPr>
      </w:pPr>
    </w:p>
    <w:p w14:paraId="7DBEB521">
      <w:pPr>
        <w:rPr>
          <w:rFonts w:ascii="仿宋" w:hAnsi="仿宋" w:eastAsia="仿宋" w:cs="仿宋"/>
          <w:b/>
          <w:sz w:val="28"/>
          <w:szCs w:val="28"/>
        </w:rPr>
      </w:pPr>
    </w:p>
    <w:p w14:paraId="2858B936">
      <w:pPr>
        <w:rPr>
          <w:rFonts w:ascii="仿宋" w:hAnsi="仿宋" w:eastAsia="仿宋" w:cs="仿宋"/>
          <w:b/>
          <w:sz w:val="28"/>
          <w:szCs w:val="28"/>
        </w:rPr>
      </w:pPr>
    </w:p>
    <w:p w14:paraId="41BE53B0">
      <w:pPr>
        <w:rPr>
          <w:rFonts w:ascii="仿宋" w:hAnsi="仿宋" w:eastAsia="仿宋" w:cs="仿宋"/>
          <w:b/>
          <w:sz w:val="28"/>
          <w:szCs w:val="28"/>
        </w:rPr>
      </w:pPr>
    </w:p>
    <w:p w14:paraId="570161B5">
      <w:pPr>
        <w:rPr>
          <w:rFonts w:ascii="仿宋" w:hAnsi="仿宋" w:eastAsia="仿宋" w:cs="仿宋"/>
          <w:b/>
          <w:sz w:val="28"/>
          <w:szCs w:val="28"/>
        </w:rPr>
      </w:pPr>
    </w:p>
    <w:p w14:paraId="1F5088DA">
      <w:pPr>
        <w:rPr>
          <w:rFonts w:ascii="仿宋" w:hAnsi="仿宋" w:eastAsia="仿宋" w:cs="仿宋"/>
          <w:b/>
          <w:sz w:val="28"/>
          <w:szCs w:val="28"/>
        </w:rPr>
      </w:pPr>
    </w:p>
    <w:p w14:paraId="36878CEF">
      <w:pPr>
        <w:spacing w:line="640" w:lineRule="exact"/>
        <w:jc w:val="center"/>
        <w:rPr>
          <w:b/>
          <w:sz w:val="28"/>
          <w:szCs w:val="28"/>
        </w:rPr>
      </w:pPr>
      <w:r>
        <w:rPr>
          <w:rFonts w:hint="eastAsia"/>
          <w:b/>
          <w:sz w:val="28"/>
          <w:szCs w:val="28"/>
        </w:rPr>
        <w:t>语言文化学院</w:t>
      </w:r>
      <w:r>
        <w:rPr>
          <w:b/>
          <w:sz w:val="28"/>
          <w:szCs w:val="28"/>
        </w:rPr>
        <w:t>推荐免试研究生科研</w:t>
      </w:r>
      <w:r>
        <w:rPr>
          <w:rFonts w:hint="eastAsia"/>
          <w:b/>
          <w:sz w:val="28"/>
          <w:szCs w:val="28"/>
        </w:rPr>
        <w:t>能力</w:t>
      </w:r>
      <w:r>
        <w:rPr>
          <w:b/>
          <w:sz w:val="28"/>
          <w:szCs w:val="28"/>
        </w:rPr>
        <w:t>评分细则</w:t>
      </w:r>
    </w:p>
    <w:p w14:paraId="0936725D">
      <w:pPr>
        <w:spacing w:line="640" w:lineRule="exact"/>
        <w:ind w:firstLine="560" w:firstLineChars="200"/>
        <w:rPr>
          <w:rFonts w:ascii="仿宋" w:hAnsi="仿宋" w:eastAsia="仿宋" w:cs="仿宋"/>
          <w:bCs/>
          <w:sz w:val="28"/>
          <w:szCs w:val="28"/>
        </w:rPr>
      </w:pPr>
      <w:r>
        <w:rPr>
          <w:rFonts w:hint="eastAsia" w:ascii="仿宋" w:hAnsi="仿宋" w:eastAsia="仿宋" w:cs="仿宋"/>
          <w:bCs/>
          <w:sz w:val="28"/>
          <w:szCs w:val="28"/>
        </w:rPr>
        <w:t>一、相关说明：</w:t>
      </w:r>
    </w:p>
    <w:p w14:paraId="08CDFC7B">
      <w:pPr>
        <w:spacing w:line="640" w:lineRule="exact"/>
        <w:ind w:firstLine="560" w:firstLineChars="200"/>
        <w:rPr>
          <w:rFonts w:ascii="仿宋" w:hAnsi="仿宋" w:eastAsia="仿宋" w:cs="仿宋"/>
          <w:bCs/>
          <w:sz w:val="28"/>
          <w:szCs w:val="28"/>
        </w:rPr>
      </w:pPr>
      <w:r>
        <w:rPr>
          <w:rFonts w:hint="eastAsia" w:ascii="仿宋" w:hAnsi="仿宋" w:eastAsia="仿宋" w:cs="仿宋"/>
          <w:bCs/>
          <w:sz w:val="28"/>
          <w:szCs w:val="28"/>
        </w:rPr>
        <w:t>科研能力得分：B＝B1＋B2＋B3＋B4＋B5＋B6。</w:t>
      </w:r>
    </w:p>
    <w:p w14:paraId="615BB1FB">
      <w:pPr>
        <w:spacing w:line="640" w:lineRule="exact"/>
        <w:ind w:firstLine="560" w:firstLineChars="200"/>
        <w:rPr>
          <w:rFonts w:ascii="仿宋" w:hAnsi="仿宋" w:eastAsia="仿宋" w:cs="仿宋"/>
          <w:bCs/>
          <w:sz w:val="28"/>
          <w:szCs w:val="28"/>
        </w:rPr>
      </w:pPr>
      <w:r>
        <w:rPr>
          <w:rFonts w:hint="eastAsia" w:ascii="仿宋" w:hAnsi="仿宋" w:eastAsia="仿宋" w:cs="仿宋"/>
          <w:bCs/>
          <w:sz w:val="28"/>
          <w:szCs w:val="28"/>
        </w:rPr>
        <w:t>申请人须提供各项得分的相关证明材料，所有证明材料的截止时间均为当年9月1日。</w:t>
      </w:r>
    </w:p>
    <w:p w14:paraId="15C7C5F9">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二、具体评分细则：</w:t>
      </w:r>
    </w:p>
    <w:p w14:paraId="2C02A87E">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（一）入伍服兵役（B1）共5分。</w:t>
      </w:r>
    </w:p>
    <w:p w14:paraId="7D06A4BD">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（二）志愿服务（B2）共10分。</w:t>
      </w:r>
    </w:p>
    <w:p w14:paraId="02EAE4FE">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（三）国际组织实习（B3）共5分。</w:t>
      </w:r>
    </w:p>
    <w:p w14:paraId="085FA158">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备注：有入伍服兵役经历的学生一次性记5分。参加志愿服务、国际组织实习者遵循不论级别、不累加的原则，志愿服务活动、国际组织实习只记一次，按满分计算。</w:t>
      </w:r>
    </w:p>
    <w:tbl>
      <w:tblPr>
        <w:tblStyle w:val="8"/>
        <w:tblpPr w:leftFromText="180" w:rightFromText="180" w:vertAnchor="text" w:horzAnchor="page" w:tblpX="2362" w:tblpY="834"/>
        <w:tblOverlap w:val="never"/>
        <w:tblW w:w="4452"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92"/>
        <w:gridCol w:w="1452"/>
        <w:gridCol w:w="1116"/>
        <w:gridCol w:w="1830"/>
        <w:gridCol w:w="1698"/>
      </w:tblGrid>
      <w:tr w14:paraId="2A6C3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983" w:type="pct"/>
            <w:tcBorders>
              <w:top w:val="single" w:color="auto" w:sz="4" w:space="0"/>
              <w:left w:val="single" w:color="auto" w:sz="4" w:space="0"/>
              <w:bottom w:val="single" w:color="auto" w:sz="4" w:space="0"/>
              <w:right w:val="single" w:color="auto" w:sz="4" w:space="0"/>
            </w:tcBorders>
            <w:vAlign w:val="center"/>
          </w:tcPr>
          <w:p w14:paraId="57BD61DF">
            <w:pPr>
              <w:pStyle w:val="7"/>
              <w:spacing w:before="0" w:after="0" w:line="640" w:lineRule="exact"/>
              <w:rPr>
                <w:rFonts w:ascii="仿宋" w:hAnsi="仿宋" w:eastAsia="仿宋" w:cs="仿宋"/>
                <w:b w:val="0"/>
                <w:bCs w:val="0"/>
                <w:sz w:val="24"/>
                <w:szCs w:val="24"/>
              </w:rPr>
            </w:pPr>
            <w:r>
              <w:rPr>
                <w:rFonts w:hint="eastAsia" w:ascii="仿宋" w:hAnsi="仿宋" w:eastAsia="仿宋" w:cs="仿宋"/>
                <w:b w:val="0"/>
                <w:bCs w:val="0"/>
                <w:sz w:val="24"/>
                <w:szCs w:val="24"/>
              </w:rPr>
              <w:t>SCI、SSCI</w:t>
            </w:r>
          </w:p>
        </w:tc>
        <w:tc>
          <w:tcPr>
            <w:tcW w:w="956" w:type="pct"/>
            <w:tcBorders>
              <w:top w:val="single" w:color="auto" w:sz="4" w:space="0"/>
              <w:left w:val="single" w:color="auto" w:sz="4" w:space="0"/>
              <w:bottom w:val="single" w:color="auto" w:sz="4" w:space="0"/>
              <w:right w:val="single" w:color="auto" w:sz="4" w:space="0"/>
            </w:tcBorders>
            <w:vAlign w:val="center"/>
          </w:tcPr>
          <w:p w14:paraId="17607BA0">
            <w:pPr>
              <w:pStyle w:val="7"/>
              <w:spacing w:before="0" w:after="0" w:line="640" w:lineRule="exact"/>
              <w:rPr>
                <w:rFonts w:ascii="仿宋" w:hAnsi="仿宋" w:eastAsia="仿宋" w:cs="仿宋"/>
                <w:b w:val="0"/>
                <w:bCs w:val="0"/>
                <w:sz w:val="24"/>
                <w:szCs w:val="24"/>
              </w:rPr>
            </w:pPr>
            <w:r>
              <w:rPr>
                <w:rFonts w:hint="eastAsia" w:ascii="仿宋" w:hAnsi="仿宋" w:eastAsia="仿宋" w:cs="仿宋"/>
                <w:b w:val="0"/>
                <w:bCs w:val="0"/>
                <w:sz w:val="24"/>
                <w:szCs w:val="24"/>
              </w:rPr>
              <w:t>EI期刊</w:t>
            </w:r>
          </w:p>
        </w:tc>
        <w:tc>
          <w:tcPr>
            <w:tcW w:w="735" w:type="pct"/>
            <w:tcBorders>
              <w:top w:val="single" w:color="auto" w:sz="4" w:space="0"/>
              <w:left w:val="single" w:color="auto" w:sz="4" w:space="0"/>
              <w:bottom w:val="single" w:color="auto" w:sz="4" w:space="0"/>
              <w:right w:val="single" w:color="auto" w:sz="4" w:space="0"/>
            </w:tcBorders>
            <w:vAlign w:val="center"/>
          </w:tcPr>
          <w:p w14:paraId="6B736896">
            <w:pPr>
              <w:pStyle w:val="7"/>
              <w:spacing w:before="0" w:after="0" w:line="640" w:lineRule="exact"/>
              <w:rPr>
                <w:rFonts w:ascii="仿宋" w:hAnsi="仿宋" w:eastAsia="仿宋" w:cs="仿宋"/>
                <w:b w:val="0"/>
                <w:bCs w:val="0"/>
                <w:sz w:val="24"/>
                <w:szCs w:val="24"/>
              </w:rPr>
            </w:pPr>
            <w:r>
              <w:rPr>
                <w:rFonts w:hint="eastAsia" w:ascii="仿宋" w:hAnsi="仿宋" w:eastAsia="仿宋" w:cs="仿宋"/>
                <w:b w:val="0"/>
                <w:bCs w:val="0"/>
                <w:sz w:val="24"/>
                <w:szCs w:val="24"/>
              </w:rPr>
              <w:t>CSSCI</w:t>
            </w:r>
          </w:p>
        </w:tc>
        <w:tc>
          <w:tcPr>
            <w:tcW w:w="1205" w:type="pct"/>
            <w:tcBorders>
              <w:top w:val="single" w:color="auto" w:sz="4" w:space="0"/>
              <w:left w:val="single" w:color="auto" w:sz="4" w:space="0"/>
              <w:bottom w:val="single" w:color="auto" w:sz="4" w:space="0"/>
              <w:right w:val="single" w:color="auto" w:sz="4" w:space="0"/>
            </w:tcBorders>
            <w:vAlign w:val="center"/>
          </w:tcPr>
          <w:p w14:paraId="45803CED">
            <w:pPr>
              <w:pStyle w:val="7"/>
              <w:spacing w:before="0" w:after="0" w:line="640" w:lineRule="exact"/>
              <w:rPr>
                <w:rFonts w:ascii="仿宋" w:hAnsi="仿宋" w:eastAsia="仿宋" w:cs="仿宋"/>
                <w:b w:val="0"/>
                <w:bCs w:val="0"/>
                <w:sz w:val="24"/>
                <w:szCs w:val="24"/>
              </w:rPr>
            </w:pPr>
            <w:r>
              <w:rPr>
                <w:rFonts w:hint="eastAsia" w:ascii="仿宋" w:hAnsi="仿宋" w:eastAsia="仿宋" w:cs="仿宋"/>
                <w:b w:val="0"/>
                <w:bCs w:val="0"/>
                <w:sz w:val="24"/>
                <w:szCs w:val="24"/>
              </w:rPr>
              <w:t>北大核心期刊</w:t>
            </w:r>
          </w:p>
        </w:tc>
        <w:tc>
          <w:tcPr>
            <w:tcW w:w="1118" w:type="pct"/>
            <w:tcBorders>
              <w:top w:val="single" w:color="auto" w:sz="4" w:space="0"/>
              <w:left w:val="single" w:color="auto" w:sz="4" w:space="0"/>
              <w:bottom w:val="single" w:color="auto" w:sz="4" w:space="0"/>
              <w:right w:val="single" w:color="auto" w:sz="4" w:space="0"/>
            </w:tcBorders>
            <w:vAlign w:val="center"/>
          </w:tcPr>
          <w:p w14:paraId="63AE2271">
            <w:pPr>
              <w:pStyle w:val="7"/>
              <w:spacing w:before="0" w:after="0" w:line="640" w:lineRule="exact"/>
              <w:rPr>
                <w:rFonts w:ascii="仿宋" w:hAnsi="仿宋" w:eastAsia="仿宋" w:cs="仿宋"/>
                <w:b w:val="0"/>
                <w:bCs w:val="0"/>
                <w:sz w:val="24"/>
                <w:szCs w:val="24"/>
              </w:rPr>
            </w:pPr>
            <w:bookmarkStart w:id="0" w:name="_Hlk524363998"/>
            <w:r>
              <w:rPr>
                <w:rFonts w:hint="eastAsia" w:ascii="仿宋" w:hAnsi="仿宋" w:eastAsia="仿宋" w:cs="仿宋"/>
                <w:b w:val="0"/>
                <w:bCs w:val="0"/>
                <w:sz w:val="24"/>
                <w:szCs w:val="24"/>
              </w:rPr>
              <w:t>公开发行期刊</w:t>
            </w:r>
            <w:bookmarkEnd w:id="0"/>
          </w:p>
        </w:tc>
      </w:tr>
      <w:tr w14:paraId="5C0B2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983" w:type="pct"/>
            <w:tcBorders>
              <w:top w:val="single" w:color="auto" w:sz="4" w:space="0"/>
              <w:left w:val="single" w:color="auto" w:sz="4" w:space="0"/>
              <w:bottom w:val="single" w:color="auto" w:sz="4" w:space="0"/>
              <w:right w:val="single" w:color="auto" w:sz="4" w:space="0"/>
            </w:tcBorders>
            <w:vAlign w:val="center"/>
          </w:tcPr>
          <w:p w14:paraId="15184D3F">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30</w:t>
            </w:r>
          </w:p>
        </w:tc>
        <w:tc>
          <w:tcPr>
            <w:tcW w:w="956" w:type="pct"/>
            <w:tcBorders>
              <w:top w:val="single" w:color="auto" w:sz="4" w:space="0"/>
              <w:left w:val="single" w:color="auto" w:sz="4" w:space="0"/>
              <w:bottom w:val="single" w:color="auto" w:sz="4" w:space="0"/>
              <w:right w:val="single" w:color="auto" w:sz="4" w:space="0"/>
            </w:tcBorders>
            <w:vAlign w:val="center"/>
          </w:tcPr>
          <w:p w14:paraId="60583902">
            <w:pPr>
              <w:pStyle w:val="7"/>
              <w:spacing w:before="0" w:after="0" w:line="640" w:lineRule="exact"/>
              <w:ind w:firstLine="480" w:firstLineChars="200"/>
              <w:jc w:val="both"/>
              <w:rPr>
                <w:rFonts w:ascii="仿宋" w:hAnsi="仿宋" w:eastAsia="仿宋" w:cs="仿宋"/>
                <w:b w:val="0"/>
                <w:bCs w:val="0"/>
                <w:sz w:val="24"/>
                <w:szCs w:val="24"/>
              </w:rPr>
            </w:pPr>
            <w:r>
              <w:rPr>
                <w:rFonts w:hint="eastAsia" w:ascii="仿宋" w:hAnsi="仿宋" w:eastAsia="仿宋" w:cs="仿宋"/>
                <w:b w:val="0"/>
                <w:bCs w:val="0"/>
                <w:sz w:val="24"/>
                <w:szCs w:val="24"/>
              </w:rPr>
              <w:t>24</w:t>
            </w:r>
          </w:p>
        </w:tc>
        <w:tc>
          <w:tcPr>
            <w:tcW w:w="735" w:type="pct"/>
            <w:tcBorders>
              <w:top w:val="single" w:color="auto" w:sz="4" w:space="0"/>
              <w:left w:val="single" w:color="auto" w:sz="4" w:space="0"/>
              <w:bottom w:val="single" w:color="auto" w:sz="4" w:space="0"/>
              <w:right w:val="single" w:color="auto" w:sz="4" w:space="0"/>
            </w:tcBorders>
            <w:vAlign w:val="center"/>
          </w:tcPr>
          <w:p w14:paraId="338FFABD">
            <w:pPr>
              <w:pStyle w:val="7"/>
              <w:spacing w:before="0" w:after="0" w:line="640" w:lineRule="exact"/>
              <w:ind w:firstLine="240" w:firstLineChars="100"/>
              <w:jc w:val="both"/>
              <w:rPr>
                <w:rFonts w:ascii="仿宋" w:hAnsi="仿宋" w:eastAsia="仿宋" w:cs="仿宋"/>
                <w:b w:val="0"/>
                <w:bCs w:val="0"/>
                <w:sz w:val="24"/>
                <w:szCs w:val="24"/>
              </w:rPr>
            </w:pPr>
            <w:r>
              <w:rPr>
                <w:rFonts w:hint="eastAsia" w:ascii="仿宋" w:hAnsi="仿宋" w:eastAsia="仿宋" w:cs="仿宋"/>
                <w:b w:val="0"/>
                <w:bCs w:val="0"/>
                <w:sz w:val="24"/>
                <w:szCs w:val="24"/>
              </w:rPr>
              <w:t>18</w:t>
            </w:r>
          </w:p>
        </w:tc>
        <w:tc>
          <w:tcPr>
            <w:tcW w:w="1205" w:type="pct"/>
            <w:tcBorders>
              <w:top w:val="single" w:color="auto" w:sz="4" w:space="0"/>
              <w:left w:val="single" w:color="auto" w:sz="4" w:space="0"/>
              <w:bottom w:val="single" w:color="auto" w:sz="4" w:space="0"/>
              <w:right w:val="single" w:color="auto" w:sz="4" w:space="0"/>
            </w:tcBorders>
            <w:vAlign w:val="center"/>
          </w:tcPr>
          <w:p w14:paraId="3592E58D">
            <w:pPr>
              <w:pStyle w:val="7"/>
              <w:spacing w:before="0" w:after="0" w:line="640" w:lineRule="exact"/>
              <w:ind w:firstLine="789" w:firstLineChars="329"/>
              <w:jc w:val="both"/>
              <w:rPr>
                <w:rFonts w:ascii="仿宋" w:hAnsi="仿宋" w:eastAsia="仿宋" w:cs="仿宋"/>
                <w:b w:val="0"/>
                <w:bCs w:val="0"/>
                <w:sz w:val="24"/>
                <w:szCs w:val="24"/>
              </w:rPr>
            </w:pPr>
            <w:r>
              <w:rPr>
                <w:rFonts w:hint="eastAsia" w:ascii="仿宋" w:hAnsi="仿宋" w:eastAsia="仿宋" w:cs="仿宋"/>
                <w:b w:val="0"/>
                <w:bCs w:val="0"/>
                <w:sz w:val="24"/>
                <w:szCs w:val="24"/>
              </w:rPr>
              <w:t>12</w:t>
            </w:r>
          </w:p>
        </w:tc>
        <w:tc>
          <w:tcPr>
            <w:tcW w:w="1118" w:type="pct"/>
            <w:tcBorders>
              <w:top w:val="single" w:color="auto" w:sz="4" w:space="0"/>
              <w:left w:val="single" w:color="auto" w:sz="4" w:space="0"/>
              <w:bottom w:val="single" w:color="auto" w:sz="4" w:space="0"/>
              <w:right w:val="single" w:color="auto" w:sz="4" w:space="0"/>
            </w:tcBorders>
            <w:vAlign w:val="center"/>
          </w:tcPr>
          <w:p w14:paraId="5F7D113C">
            <w:pPr>
              <w:pStyle w:val="7"/>
              <w:spacing w:before="0" w:after="0" w:line="640" w:lineRule="exact"/>
              <w:ind w:firstLine="720" w:firstLineChars="300"/>
              <w:jc w:val="both"/>
              <w:rPr>
                <w:rFonts w:ascii="仿宋" w:hAnsi="仿宋" w:eastAsia="仿宋" w:cs="仿宋"/>
                <w:b w:val="0"/>
                <w:bCs w:val="0"/>
                <w:sz w:val="24"/>
                <w:szCs w:val="24"/>
              </w:rPr>
            </w:pPr>
            <w:r>
              <w:rPr>
                <w:rFonts w:hint="eastAsia" w:ascii="仿宋" w:hAnsi="仿宋" w:eastAsia="仿宋" w:cs="仿宋"/>
                <w:b w:val="0"/>
                <w:bCs w:val="0"/>
                <w:sz w:val="24"/>
                <w:szCs w:val="24"/>
              </w:rPr>
              <w:t>6</w:t>
            </w:r>
          </w:p>
        </w:tc>
      </w:tr>
    </w:tbl>
    <w:p w14:paraId="321BE095">
      <w:pPr>
        <w:numPr>
          <w:ilvl w:val="0"/>
          <w:numId w:val="1"/>
        </w:num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论文得分（B4）共30分，按下表计算分值</w:t>
      </w:r>
    </w:p>
    <w:p w14:paraId="72836F52">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注：</w:t>
      </w:r>
    </w:p>
    <w:p w14:paraId="375289A9">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1.发表多篇论文者可累计加分，第一篇论文按上表中的相关级别计算分值，第二篇论文按该论文所属级别的20%计算得分，发表第三篇论文及以上的不予计算，论文得分的总成绩不得超过30分。</w:t>
      </w:r>
    </w:p>
    <w:p w14:paraId="7477EF62">
      <w:pPr>
        <w:spacing w:line="64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rPr>
        <w:t>2.发表的论文，学生本人需为第一作者、西北农林科技大学为第一完成单位，并且论文内容需与所学专业相关。</w:t>
      </w:r>
    </w:p>
    <w:p w14:paraId="38277E62">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3.SCI、SSCI、CSSCI、EI期刊收录论文需提供收录证明和文章首页，在北大核心期刊或公开发行学术期刊发表的论文需提供期刊封面、目录和文章首页。</w:t>
      </w:r>
    </w:p>
    <w:p w14:paraId="5E285223">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4.SCI、SSCI、CSSCI、EI、北大核心期刊论文以当年最新期刊目录为准。</w:t>
      </w:r>
    </w:p>
    <w:p w14:paraId="4BE3EF11">
      <w:pPr>
        <w:spacing w:line="640" w:lineRule="exact"/>
        <w:ind w:firstLine="560" w:firstLineChars="200"/>
        <w:rPr>
          <w:rFonts w:ascii="仿宋" w:hAnsi="仿宋" w:eastAsia="仿宋" w:cs="仿宋"/>
          <w:sz w:val="28"/>
          <w:szCs w:val="28"/>
        </w:rPr>
      </w:pPr>
      <w:r>
        <w:rPr>
          <w:rFonts w:hint="eastAsia" w:ascii="仿宋" w:hAnsi="仿宋" w:eastAsia="仿宋" w:cs="仿宋"/>
          <w:sz w:val="28"/>
          <w:szCs w:val="28"/>
        </w:rPr>
        <w:t>5.发表的专刊专集论文，以公开发行期刊予以统计。</w:t>
      </w:r>
    </w:p>
    <w:p w14:paraId="02573DAA">
      <w:pPr>
        <w:spacing w:line="640" w:lineRule="exact"/>
        <w:ind w:firstLine="411" w:firstLineChars="147"/>
        <w:rPr>
          <w:rFonts w:ascii="仿宋" w:hAnsi="仿宋" w:eastAsia="仿宋" w:cs="仿宋"/>
          <w:sz w:val="28"/>
          <w:szCs w:val="28"/>
        </w:rPr>
      </w:pPr>
      <w:r>
        <w:rPr>
          <w:rFonts w:hint="eastAsia" w:ascii="仿宋" w:hAnsi="仿宋" w:eastAsia="仿宋" w:cs="仿宋"/>
          <w:sz w:val="28"/>
          <w:szCs w:val="28"/>
        </w:rPr>
        <w:t>（五）学科竞赛得分（B5）共30分，按下表计算分值：</w:t>
      </w:r>
    </w:p>
    <w:tbl>
      <w:tblPr>
        <w:tblStyle w:val="8"/>
        <w:tblW w:w="4215" w:type="pct"/>
        <w:tblInd w:w="82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36"/>
        <w:gridCol w:w="1670"/>
        <w:gridCol w:w="1857"/>
        <w:gridCol w:w="1921"/>
      </w:tblGrid>
      <w:tr w14:paraId="21E7DE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8" w:type="pct"/>
            <w:tcBorders>
              <w:top w:val="single" w:color="auto" w:sz="4" w:space="0"/>
              <w:left w:val="single" w:color="auto" w:sz="4" w:space="0"/>
              <w:bottom w:val="single" w:color="auto" w:sz="4" w:space="0"/>
              <w:right w:val="single" w:color="auto" w:sz="4" w:space="0"/>
            </w:tcBorders>
            <w:vAlign w:val="center"/>
          </w:tcPr>
          <w:p w14:paraId="67E5581B">
            <w:pPr>
              <w:pStyle w:val="7"/>
              <w:spacing w:before="0" w:after="0" w:line="640" w:lineRule="exact"/>
              <w:ind w:firstLine="480" w:firstLineChars="200"/>
              <w:jc w:val="both"/>
              <w:rPr>
                <w:rFonts w:ascii="仿宋" w:hAnsi="仿宋" w:eastAsia="仿宋" w:cs="仿宋"/>
                <w:b w:val="0"/>
                <w:bCs w:val="0"/>
                <w:sz w:val="24"/>
                <w:szCs w:val="24"/>
              </w:rPr>
            </w:pPr>
            <w:r>
              <w:rPr>
                <w:rFonts w:hint="eastAsia" w:ascii="仿宋" w:hAnsi="仿宋" w:eastAsia="仿宋" w:cs="仿宋"/>
                <w:b w:val="0"/>
                <w:bCs w:val="0"/>
                <w:sz w:val="24"/>
                <w:szCs w:val="24"/>
              </w:rPr>
              <w:t>获奖类别</w:t>
            </w:r>
          </w:p>
        </w:tc>
        <w:tc>
          <w:tcPr>
            <w:tcW w:w="1162" w:type="pct"/>
            <w:tcBorders>
              <w:top w:val="single" w:color="auto" w:sz="4" w:space="0"/>
              <w:left w:val="single" w:color="auto" w:sz="4" w:space="0"/>
              <w:bottom w:val="single" w:color="auto" w:sz="4" w:space="0"/>
              <w:right w:val="single" w:color="auto" w:sz="4" w:space="0"/>
            </w:tcBorders>
            <w:vAlign w:val="center"/>
          </w:tcPr>
          <w:p w14:paraId="6471EA3C">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国家级</w:t>
            </w:r>
          </w:p>
        </w:tc>
        <w:tc>
          <w:tcPr>
            <w:tcW w:w="1292" w:type="pct"/>
            <w:tcBorders>
              <w:top w:val="single" w:color="auto" w:sz="4" w:space="0"/>
              <w:left w:val="single" w:color="auto" w:sz="4" w:space="0"/>
              <w:bottom w:val="single" w:color="auto" w:sz="4" w:space="0"/>
              <w:right w:val="single" w:color="auto" w:sz="4" w:space="0"/>
            </w:tcBorders>
            <w:vAlign w:val="center"/>
          </w:tcPr>
          <w:p w14:paraId="0133FC42">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省级</w:t>
            </w:r>
          </w:p>
        </w:tc>
        <w:tc>
          <w:tcPr>
            <w:tcW w:w="1336" w:type="pct"/>
            <w:tcBorders>
              <w:top w:val="single" w:color="auto" w:sz="4" w:space="0"/>
              <w:left w:val="single" w:color="auto" w:sz="4" w:space="0"/>
              <w:bottom w:val="single" w:color="auto" w:sz="4" w:space="0"/>
              <w:right w:val="single" w:color="auto" w:sz="4" w:space="0"/>
            </w:tcBorders>
            <w:vAlign w:val="center"/>
          </w:tcPr>
          <w:p w14:paraId="42611823">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校级</w:t>
            </w:r>
          </w:p>
        </w:tc>
      </w:tr>
      <w:tr w14:paraId="4C451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8" w:type="pct"/>
            <w:tcBorders>
              <w:top w:val="single" w:color="auto" w:sz="4" w:space="0"/>
              <w:left w:val="single" w:color="auto" w:sz="4" w:space="0"/>
              <w:bottom w:val="single" w:color="auto" w:sz="4" w:space="0"/>
              <w:right w:val="single" w:color="auto" w:sz="4" w:space="0"/>
            </w:tcBorders>
            <w:vAlign w:val="center"/>
          </w:tcPr>
          <w:p w14:paraId="57499CED">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一等奖</w:t>
            </w:r>
          </w:p>
        </w:tc>
        <w:tc>
          <w:tcPr>
            <w:tcW w:w="1162" w:type="pct"/>
            <w:tcBorders>
              <w:top w:val="single" w:color="auto" w:sz="4" w:space="0"/>
              <w:left w:val="single" w:color="auto" w:sz="4" w:space="0"/>
              <w:bottom w:val="single" w:color="auto" w:sz="4" w:space="0"/>
              <w:right w:val="single" w:color="auto" w:sz="4" w:space="0"/>
            </w:tcBorders>
            <w:vAlign w:val="center"/>
          </w:tcPr>
          <w:p w14:paraId="3E160A76">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30</w:t>
            </w:r>
          </w:p>
        </w:tc>
        <w:tc>
          <w:tcPr>
            <w:tcW w:w="1292" w:type="pct"/>
            <w:tcBorders>
              <w:top w:val="single" w:color="auto" w:sz="4" w:space="0"/>
              <w:left w:val="single" w:color="auto" w:sz="4" w:space="0"/>
              <w:bottom w:val="single" w:color="auto" w:sz="4" w:space="0"/>
              <w:right w:val="single" w:color="auto" w:sz="4" w:space="0"/>
            </w:tcBorders>
            <w:vAlign w:val="center"/>
          </w:tcPr>
          <w:p w14:paraId="6E9C2CF4">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20</w:t>
            </w:r>
          </w:p>
        </w:tc>
        <w:tc>
          <w:tcPr>
            <w:tcW w:w="1336" w:type="pct"/>
            <w:tcBorders>
              <w:top w:val="single" w:color="auto" w:sz="4" w:space="0"/>
              <w:left w:val="single" w:color="auto" w:sz="4" w:space="0"/>
              <w:bottom w:val="single" w:color="auto" w:sz="4" w:space="0"/>
              <w:right w:val="single" w:color="auto" w:sz="4" w:space="0"/>
            </w:tcBorders>
            <w:vAlign w:val="center"/>
          </w:tcPr>
          <w:p w14:paraId="78756F8B">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10</w:t>
            </w:r>
          </w:p>
        </w:tc>
      </w:tr>
      <w:tr w14:paraId="47E4A4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9" w:hRule="atLeast"/>
        </w:trPr>
        <w:tc>
          <w:tcPr>
            <w:tcW w:w="1208" w:type="pct"/>
            <w:tcBorders>
              <w:top w:val="single" w:color="auto" w:sz="4" w:space="0"/>
              <w:left w:val="single" w:color="auto" w:sz="4" w:space="0"/>
              <w:bottom w:val="single" w:color="auto" w:sz="4" w:space="0"/>
              <w:right w:val="single" w:color="auto" w:sz="4" w:space="0"/>
            </w:tcBorders>
            <w:vAlign w:val="center"/>
          </w:tcPr>
          <w:p w14:paraId="12B7DF4C">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二等奖</w:t>
            </w:r>
          </w:p>
        </w:tc>
        <w:tc>
          <w:tcPr>
            <w:tcW w:w="1162" w:type="pct"/>
            <w:tcBorders>
              <w:top w:val="single" w:color="auto" w:sz="4" w:space="0"/>
              <w:left w:val="single" w:color="auto" w:sz="4" w:space="0"/>
              <w:bottom w:val="single" w:color="auto" w:sz="4" w:space="0"/>
              <w:right w:val="single" w:color="auto" w:sz="4" w:space="0"/>
            </w:tcBorders>
            <w:vAlign w:val="center"/>
          </w:tcPr>
          <w:p w14:paraId="32FE1C69">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25</w:t>
            </w:r>
          </w:p>
        </w:tc>
        <w:tc>
          <w:tcPr>
            <w:tcW w:w="1292" w:type="pct"/>
            <w:tcBorders>
              <w:top w:val="single" w:color="auto" w:sz="4" w:space="0"/>
              <w:left w:val="single" w:color="auto" w:sz="4" w:space="0"/>
              <w:bottom w:val="single" w:color="auto" w:sz="4" w:space="0"/>
              <w:right w:val="single" w:color="auto" w:sz="4" w:space="0"/>
            </w:tcBorders>
            <w:vAlign w:val="center"/>
          </w:tcPr>
          <w:p w14:paraId="5994ABA7">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15</w:t>
            </w:r>
          </w:p>
        </w:tc>
        <w:tc>
          <w:tcPr>
            <w:tcW w:w="1336" w:type="pct"/>
            <w:tcBorders>
              <w:top w:val="single" w:color="auto" w:sz="4" w:space="0"/>
              <w:left w:val="single" w:color="auto" w:sz="4" w:space="0"/>
              <w:bottom w:val="single" w:color="auto" w:sz="4" w:space="0"/>
              <w:right w:val="single" w:color="auto" w:sz="4" w:space="0"/>
            </w:tcBorders>
            <w:vAlign w:val="center"/>
          </w:tcPr>
          <w:p w14:paraId="378A18C2">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5</w:t>
            </w:r>
          </w:p>
        </w:tc>
      </w:tr>
      <w:tr w14:paraId="14C18F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1208" w:type="pct"/>
            <w:tcBorders>
              <w:top w:val="single" w:color="auto" w:sz="4" w:space="0"/>
              <w:left w:val="single" w:color="auto" w:sz="4" w:space="0"/>
              <w:bottom w:val="single" w:color="auto" w:sz="4" w:space="0"/>
              <w:right w:val="single" w:color="auto" w:sz="4" w:space="0"/>
            </w:tcBorders>
            <w:vAlign w:val="center"/>
          </w:tcPr>
          <w:p w14:paraId="29808919">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三等奖</w:t>
            </w:r>
          </w:p>
        </w:tc>
        <w:tc>
          <w:tcPr>
            <w:tcW w:w="1162" w:type="pct"/>
            <w:tcBorders>
              <w:top w:val="single" w:color="auto" w:sz="4" w:space="0"/>
              <w:left w:val="single" w:color="auto" w:sz="4" w:space="0"/>
              <w:bottom w:val="single" w:color="auto" w:sz="4" w:space="0"/>
              <w:right w:val="single" w:color="auto" w:sz="4" w:space="0"/>
            </w:tcBorders>
            <w:vAlign w:val="center"/>
          </w:tcPr>
          <w:p w14:paraId="43185D79">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20</w:t>
            </w:r>
          </w:p>
        </w:tc>
        <w:tc>
          <w:tcPr>
            <w:tcW w:w="1292" w:type="pct"/>
            <w:tcBorders>
              <w:top w:val="single" w:color="auto" w:sz="4" w:space="0"/>
              <w:left w:val="single" w:color="auto" w:sz="4" w:space="0"/>
              <w:bottom w:val="single" w:color="auto" w:sz="4" w:space="0"/>
              <w:right w:val="single" w:color="auto" w:sz="4" w:space="0"/>
            </w:tcBorders>
            <w:vAlign w:val="center"/>
          </w:tcPr>
          <w:p w14:paraId="18C6B92F">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10</w:t>
            </w:r>
          </w:p>
        </w:tc>
        <w:tc>
          <w:tcPr>
            <w:tcW w:w="1336" w:type="pct"/>
            <w:tcBorders>
              <w:top w:val="single" w:color="auto" w:sz="4" w:space="0"/>
              <w:left w:val="single" w:color="auto" w:sz="4" w:space="0"/>
              <w:bottom w:val="single" w:color="auto" w:sz="4" w:space="0"/>
              <w:right w:val="single" w:color="auto" w:sz="4" w:space="0"/>
            </w:tcBorders>
            <w:vAlign w:val="center"/>
          </w:tcPr>
          <w:p w14:paraId="1ABB0BD4">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1</w:t>
            </w:r>
          </w:p>
        </w:tc>
      </w:tr>
    </w:tbl>
    <w:p w14:paraId="60BDE427">
      <w:pPr>
        <w:pStyle w:val="7"/>
        <w:spacing w:before="0" w:after="0" w:line="640" w:lineRule="exact"/>
        <w:ind w:firstLine="559" w:firstLineChars="199"/>
        <w:jc w:val="left"/>
        <w:rPr>
          <w:rFonts w:ascii="仿宋" w:hAnsi="仿宋" w:eastAsia="仿宋" w:cs="仿宋"/>
          <w:bCs w:val="0"/>
          <w:sz w:val="28"/>
          <w:szCs w:val="28"/>
        </w:rPr>
      </w:pPr>
      <w:r>
        <w:rPr>
          <w:rFonts w:hint="eastAsia" w:ascii="仿宋" w:hAnsi="仿宋" w:eastAsia="仿宋" w:cs="仿宋"/>
          <w:bCs w:val="0"/>
          <w:sz w:val="28"/>
          <w:szCs w:val="28"/>
        </w:rPr>
        <w:t>注：</w:t>
      </w:r>
    </w:p>
    <w:p w14:paraId="6FE6A70C">
      <w:pPr>
        <w:pStyle w:val="7"/>
        <w:spacing w:before="0" w:after="0" w:line="640" w:lineRule="exact"/>
        <w:ind w:firstLine="557" w:firstLineChars="199"/>
        <w:jc w:val="left"/>
        <w:rPr>
          <w:rFonts w:ascii="仿宋" w:hAnsi="仿宋" w:eastAsia="仿宋" w:cs="仿宋"/>
          <w:b w:val="0"/>
          <w:bCs w:val="0"/>
          <w:sz w:val="28"/>
          <w:szCs w:val="28"/>
        </w:rPr>
      </w:pPr>
      <w:r>
        <w:rPr>
          <w:rFonts w:hint="eastAsia" w:ascii="仿宋" w:hAnsi="仿宋" w:eastAsia="仿宋" w:cs="仿宋"/>
          <w:b w:val="0"/>
          <w:bCs w:val="0"/>
          <w:sz w:val="28"/>
          <w:szCs w:val="28"/>
        </w:rPr>
        <w:t>1.参加多个不同类型的学科竞赛可累计加分，每类竞赛只取三个级别，附件2学科竞赛目录中A类、B类、C类的竞赛按1.0、0.9、0.8的权重统计分值，学科竞赛得分的总分不得超过30分。</w:t>
      </w:r>
    </w:p>
    <w:p w14:paraId="7EA3735D">
      <w:pPr>
        <w:pStyle w:val="7"/>
        <w:spacing w:before="0" w:after="0" w:line="640" w:lineRule="exact"/>
        <w:ind w:firstLine="560" w:firstLineChars="200"/>
        <w:jc w:val="left"/>
        <w:rPr>
          <w:rFonts w:ascii="仿宋" w:hAnsi="仿宋" w:eastAsia="仿宋" w:cs="仿宋"/>
          <w:b w:val="0"/>
          <w:bCs w:val="0"/>
          <w:sz w:val="28"/>
          <w:szCs w:val="28"/>
        </w:rPr>
      </w:pPr>
      <w:r>
        <w:rPr>
          <w:rFonts w:hint="eastAsia" w:ascii="仿宋" w:hAnsi="仿宋" w:eastAsia="仿宋" w:cs="仿宋"/>
          <w:b w:val="0"/>
          <w:bCs w:val="0"/>
          <w:sz w:val="28"/>
          <w:szCs w:val="28"/>
        </w:rPr>
        <w:t>2.参加同一类竞赛的只取最高成绩。</w:t>
      </w:r>
    </w:p>
    <w:p w14:paraId="5F8DA84D">
      <w:pPr>
        <w:pStyle w:val="7"/>
        <w:spacing w:before="0" w:after="0" w:line="640" w:lineRule="exact"/>
        <w:ind w:firstLine="560" w:firstLineChars="200"/>
        <w:jc w:val="left"/>
        <w:rPr>
          <w:rFonts w:ascii="仿宋" w:hAnsi="仿宋" w:eastAsia="仿宋" w:cs="仿宋"/>
          <w:b w:val="0"/>
          <w:bCs w:val="0"/>
          <w:sz w:val="28"/>
          <w:szCs w:val="28"/>
        </w:rPr>
      </w:pPr>
      <w:r>
        <w:rPr>
          <w:rFonts w:hint="eastAsia" w:ascii="仿宋" w:hAnsi="仿宋" w:eastAsia="仿宋" w:cs="仿宋"/>
          <w:b w:val="0"/>
          <w:bCs w:val="0"/>
          <w:sz w:val="28"/>
          <w:szCs w:val="28"/>
        </w:rPr>
        <w:t>3.学校组织的</w:t>
      </w:r>
      <w:bookmarkStart w:id="1" w:name="_Hlk524365344"/>
      <w:r>
        <w:rPr>
          <w:rFonts w:hint="eastAsia" w:ascii="仿宋" w:hAnsi="仿宋" w:eastAsia="仿宋" w:cs="仿宋"/>
          <w:b w:val="0"/>
          <w:bCs w:val="0"/>
          <w:sz w:val="28"/>
          <w:szCs w:val="28"/>
        </w:rPr>
        <w:t>全国大学生英语竞赛、“外研社杯”阅读、写作、演讲赛</w:t>
      </w:r>
      <w:bookmarkEnd w:id="1"/>
      <w:r>
        <w:rPr>
          <w:rFonts w:hint="eastAsia" w:ascii="仿宋" w:hAnsi="仿宋" w:eastAsia="仿宋" w:cs="仿宋"/>
          <w:b w:val="0"/>
          <w:bCs w:val="0"/>
          <w:sz w:val="28"/>
          <w:szCs w:val="28"/>
        </w:rPr>
        <w:t>，陕西省组织的全国大学生英语竞赛、“</w:t>
      </w:r>
      <w:bookmarkStart w:id="2" w:name="_Hlk524372336"/>
      <w:r>
        <w:rPr>
          <w:rFonts w:hint="eastAsia" w:ascii="仿宋" w:hAnsi="仿宋" w:eastAsia="仿宋" w:cs="仿宋"/>
          <w:b w:val="0"/>
          <w:bCs w:val="0"/>
          <w:sz w:val="28"/>
          <w:szCs w:val="28"/>
        </w:rPr>
        <w:t>外研社杯”阅读、写作、演讲</w:t>
      </w:r>
      <w:bookmarkEnd w:id="2"/>
      <w:r>
        <w:rPr>
          <w:rFonts w:hint="eastAsia" w:ascii="仿宋" w:hAnsi="仿宋" w:eastAsia="仿宋" w:cs="仿宋"/>
          <w:b w:val="0"/>
          <w:bCs w:val="0"/>
          <w:sz w:val="28"/>
          <w:szCs w:val="28"/>
        </w:rPr>
        <w:t>、辩论赛，其获奖等级分别按照校级、省级的获奖等级计算分值。经省赛选拔参加“外研社杯”阅读、写作、演讲、辩论赛全国总决赛的，按国家级计算分值。</w:t>
      </w:r>
    </w:p>
    <w:p w14:paraId="28F7DC28">
      <w:pPr>
        <w:pStyle w:val="7"/>
        <w:spacing w:before="0" w:after="0" w:line="640" w:lineRule="exact"/>
        <w:ind w:firstLine="560" w:firstLineChars="200"/>
        <w:jc w:val="left"/>
        <w:rPr>
          <w:rFonts w:hint="eastAsia" w:ascii="仿宋" w:hAnsi="仿宋" w:eastAsia="仿宋" w:cs="仿宋"/>
          <w:b w:val="0"/>
          <w:bCs w:val="0"/>
          <w:sz w:val="28"/>
          <w:szCs w:val="28"/>
        </w:rPr>
      </w:pPr>
      <w:r>
        <w:rPr>
          <w:rFonts w:hint="eastAsia" w:ascii="仿宋" w:hAnsi="仿宋" w:eastAsia="仿宋" w:cs="仿宋"/>
          <w:b w:val="0"/>
          <w:bCs w:val="0"/>
          <w:sz w:val="28"/>
          <w:szCs w:val="28"/>
        </w:rPr>
        <w:t xml:space="preserve">4.学科竞赛范围仅限于附件8《ABC类学科竞赛目录》    </w:t>
      </w:r>
    </w:p>
    <w:tbl>
      <w:tblPr>
        <w:tblStyle w:val="8"/>
        <w:tblpPr w:leftFromText="180" w:rightFromText="180" w:vertAnchor="text" w:horzAnchor="page" w:tblpX="2257" w:tblpY="1248"/>
        <w:tblOverlap w:val="never"/>
        <w:tblW w:w="4716"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944"/>
        <w:gridCol w:w="2145"/>
        <w:gridCol w:w="2023"/>
        <w:gridCol w:w="1926"/>
      </w:tblGrid>
      <w:tr w14:paraId="1B3BC6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57" w:hRule="atLeast"/>
        </w:trPr>
        <w:tc>
          <w:tcPr>
            <w:tcW w:w="1209" w:type="pct"/>
            <w:vMerge w:val="restart"/>
            <w:tcBorders>
              <w:top w:val="single" w:color="auto" w:sz="4" w:space="0"/>
              <w:left w:val="single" w:color="auto" w:sz="4" w:space="0"/>
              <w:right w:val="single" w:color="auto" w:sz="4" w:space="0"/>
            </w:tcBorders>
            <w:vAlign w:val="center"/>
          </w:tcPr>
          <w:p w14:paraId="060ECFD3">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国家级</w:t>
            </w:r>
          </w:p>
        </w:tc>
        <w:tc>
          <w:tcPr>
            <w:tcW w:w="1334" w:type="pct"/>
            <w:vMerge w:val="restart"/>
            <w:tcBorders>
              <w:top w:val="single" w:color="auto" w:sz="4" w:space="0"/>
              <w:left w:val="single" w:color="auto" w:sz="4" w:space="0"/>
              <w:right w:val="single" w:color="auto" w:sz="4" w:space="0"/>
            </w:tcBorders>
            <w:vAlign w:val="center"/>
          </w:tcPr>
          <w:p w14:paraId="014778B2">
            <w:pPr>
              <w:pStyle w:val="7"/>
              <w:spacing w:before="0" w:after="0" w:line="640" w:lineRule="exact"/>
              <w:ind w:firstLine="789" w:firstLineChars="329"/>
              <w:jc w:val="both"/>
              <w:rPr>
                <w:rFonts w:ascii="仿宋" w:hAnsi="仿宋" w:eastAsia="仿宋" w:cs="仿宋"/>
                <w:b w:val="0"/>
                <w:bCs w:val="0"/>
                <w:sz w:val="24"/>
                <w:szCs w:val="24"/>
              </w:rPr>
            </w:pPr>
            <w:r>
              <w:rPr>
                <w:rFonts w:hint="eastAsia" w:ascii="仿宋" w:hAnsi="仿宋" w:eastAsia="仿宋" w:cs="仿宋"/>
                <w:b w:val="0"/>
                <w:bCs w:val="0"/>
                <w:sz w:val="24"/>
                <w:szCs w:val="24"/>
              </w:rPr>
              <w:t>省级</w:t>
            </w:r>
          </w:p>
        </w:tc>
        <w:tc>
          <w:tcPr>
            <w:tcW w:w="2455" w:type="pct"/>
            <w:gridSpan w:val="2"/>
            <w:tcBorders>
              <w:left w:val="single" w:color="auto" w:sz="4" w:space="0"/>
              <w:bottom w:val="single" w:color="auto" w:sz="4" w:space="0"/>
              <w:right w:val="single" w:color="auto" w:sz="4" w:space="0"/>
            </w:tcBorders>
            <w:vAlign w:val="center"/>
          </w:tcPr>
          <w:p w14:paraId="2DEDEA21">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校级</w:t>
            </w:r>
          </w:p>
        </w:tc>
      </w:tr>
      <w:tr w14:paraId="64D33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1209" w:type="pct"/>
            <w:vMerge w:val="continue"/>
            <w:tcBorders>
              <w:left w:val="single" w:color="auto" w:sz="4" w:space="0"/>
              <w:bottom w:val="single" w:color="auto" w:sz="4" w:space="0"/>
              <w:right w:val="single" w:color="auto" w:sz="4" w:space="0"/>
            </w:tcBorders>
            <w:vAlign w:val="center"/>
          </w:tcPr>
          <w:p w14:paraId="5F4BA716">
            <w:pPr>
              <w:pStyle w:val="7"/>
              <w:spacing w:before="0" w:after="0" w:line="640" w:lineRule="exact"/>
              <w:ind w:firstLine="482"/>
              <w:rPr>
                <w:rFonts w:ascii="仿宋" w:hAnsi="仿宋" w:eastAsia="仿宋" w:cs="仿宋"/>
                <w:b w:val="0"/>
                <w:bCs w:val="0"/>
                <w:sz w:val="24"/>
                <w:szCs w:val="24"/>
              </w:rPr>
            </w:pPr>
          </w:p>
        </w:tc>
        <w:tc>
          <w:tcPr>
            <w:tcW w:w="1334" w:type="pct"/>
            <w:vMerge w:val="continue"/>
            <w:tcBorders>
              <w:left w:val="single" w:color="auto" w:sz="4" w:space="0"/>
              <w:bottom w:val="single" w:color="auto" w:sz="4" w:space="0"/>
              <w:right w:val="single" w:color="auto" w:sz="4" w:space="0"/>
            </w:tcBorders>
            <w:vAlign w:val="center"/>
          </w:tcPr>
          <w:p w14:paraId="7455DA88">
            <w:pPr>
              <w:pStyle w:val="7"/>
              <w:spacing w:before="0" w:after="0" w:line="640" w:lineRule="exact"/>
              <w:ind w:firstLine="482"/>
              <w:rPr>
                <w:rFonts w:ascii="仿宋" w:hAnsi="仿宋" w:eastAsia="仿宋" w:cs="仿宋"/>
                <w:b w:val="0"/>
                <w:bCs w:val="0"/>
                <w:sz w:val="24"/>
                <w:szCs w:val="24"/>
              </w:rPr>
            </w:pPr>
          </w:p>
        </w:tc>
        <w:tc>
          <w:tcPr>
            <w:tcW w:w="1258" w:type="pct"/>
            <w:tcBorders>
              <w:top w:val="single" w:color="auto" w:sz="4" w:space="0"/>
              <w:left w:val="single" w:color="auto" w:sz="4" w:space="0"/>
              <w:bottom w:val="single" w:color="auto" w:sz="4" w:space="0"/>
              <w:right w:val="single" w:color="auto" w:sz="4" w:space="0"/>
            </w:tcBorders>
            <w:vAlign w:val="center"/>
          </w:tcPr>
          <w:p w14:paraId="1CAD8C58">
            <w:pPr>
              <w:pStyle w:val="7"/>
              <w:spacing w:before="0" w:after="0" w:line="640" w:lineRule="exact"/>
              <w:ind w:firstLine="482"/>
              <w:rPr>
                <w:rFonts w:ascii="仿宋" w:hAnsi="仿宋" w:eastAsia="仿宋" w:cs="仿宋"/>
                <w:b w:val="0"/>
                <w:bCs w:val="0"/>
                <w:sz w:val="24"/>
                <w:szCs w:val="24"/>
              </w:rPr>
            </w:pPr>
            <w:r>
              <w:rPr>
                <w:rFonts w:hint="eastAsia" w:ascii="仿宋" w:hAnsi="仿宋" w:eastAsia="仿宋" w:cs="仿宋"/>
                <w:b w:val="0"/>
                <w:bCs w:val="0"/>
                <w:sz w:val="24"/>
                <w:szCs w:val="24"/>
              </w:rPr>
              <w:t>重点</w:t>
            </w:r>
          </w:p>
        </w:tc>
        <w:tc>
          <w:tcPr>
            <w:tcW w:w="1196" w:type="pct"/>
            <w:tcBorders>
              <w:top w:val="single" w:color="auto" w:sz="4" w:space="0"/>
              <w:left w:val="single" w:color="auto" w:sz="4" w:space="0"/>
              <w:bottom w:val="single" w:color="auto" w:sz="4" w:space="0"/>
              <w:right w:val="single" w:color="auto" w:sz="4" w:space="0"/>
            </w:tcBorders>
            <w:vAlign w:val="center"/>
          </w:tcPr>
          <w:p w14:paraId="48EDC60A">
            <w:pPr>
              <w:pStyle w:val="7"/>
              <w:spacing w:before="0" w:after="0" w:line="640" w:lineRule="exact"/>
              <w:ind w:firstLine="482"/>
              <w:jc w:val="both"/>
              <w:rPr>
                <w:rFonts w:ascii="仿宋" w:hAnsi="仿宋" w:eastAsia="仿宋" w:cs="仿宋"/>
                <w:b w:val="0"/>
                <w:bCs w:val="0"/>
                <w:sz w:val="24"/>
                <w:szCs w:val="24"/>
              </w:rPr>
            </w:pPr>
            <w:r>
              <w:rPr>
                <w:rFonts w:hint="eastAsia" w:ascii="仿宋" w:hAnsi="仿宋" w:eastAsia="仿宋" w:cs="仿宋"/>
                <w:b w:val="0"/>
                <w:bCs w:val="0"/>
                <w:sz w:val="24"/>
                <w:szCs w:val="24"/>
              </w:rPr>
              <w:t>一般</w:t>
            </w:r>
          </w:p>
        </w:tc>
      </w:tr>
      <w:tr w14:paraId="7E390C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2" w:hRule="atLeast"/>
        </w:trPr>
        <w:tc>
          <w:tcPr>
            <w:tcW w:w="1209" w:type="pct"/>
            <w:tcBorders>
              <w:top w:val="single" w:color="auto" w:sz="4" w:space="0"/>
              <w:left w:val="single" w:color="auto" w:sz="4" w:space="0"/>
              <w:bottom w:val="single" w:color="auto" w:sz="4" w:space="0"/>
              <w:right w:val="single" w:color="auto" w:sz="4" w:space="0"/>
            </w:tcBorders>
            <w:vAlign w:val="center"/>
          </w:tcPr>
          <w:p w14:paraId="17196DC3">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20分（结题且优秀）15分（结题且良好）10分（结题且合格）</w:t>
            </w:r>
          </w:p>
        </w:tc>
        <w:tc>
          <w:tcPr>
            <w:tcW w:w="1334" w:type="pct"/>
            <w:tcBorders>
              <w:top w:val="single" w:color="auto" w:sz="4" w:space="0"/>
              <w:left w:val="single" w:color="auto" w:sz="4" w:space="0"/>
              <w:bottom w:val="single" w:color="auto" w:sz="4" w:space="0"/>
              <w:right w:val="single" w:color="auto" w:sz="4" w:space="0"/>
            </w:tcBorders>
            <w:vAlign w:val="center"/>
          </w:tcPr>
          <w:p w14:paraId="45949AAC">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15分（结题且优秀）10分（结题且良好）5分（结题且合格）</w:t>
            </w:r>
          </w:p>
        </w:tc>
        <w:tc>
          <w:tcPr>
            <w:tcW w:w="1258" w:type="pct"/>
            <w:tcBorders>
              <w:top w:val="single" w:color="auto" w:sz="4" w:space="0"/>
              <w:left w:val="single" w:color="auto" w:sz="4" w:space="0"/>
              <w:bottom w:val="single" w:color="auto" w:sz="4" w:space="0"/>
              <w:right w:val="single" w:color="auto" w:sz="4" w:space="0"/>
            </w:tcBorders>
            <w:vAlign w:val="center"/>
          </w:tcPr>
          <w:p w14:paraId="70FE813D">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5分（结题且优秀）</w:t>
            </w:r>
          </w:p>
          <w:p w14:paraId="6EB0E94F">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4分（结题且良好）</w:t>
            </w:r>
          </w:p>
          <w:p w14:paraId="13F36820">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3分（结题且合格）</w:t>
            </w:r>
          </w:p>
        </w:tc>
        <w:tc>
          <w:tcPr>
            <w:tcW w:w="1196" w:type="pct"/>
            <w:tcBorders>
              <w:top w:val="single" w:color="auto" w:sz="4" w:space="0"/>
              <w:left w:val="single" w:color="auto" w:sz="4" w:space="0"/>
              <w:bottom w:val="single" w:color="auto" w:sz="4" w:space="0"/>
              <w:right w:val="single" w:color="auto" w:sz="4" w:space="0"/>
            </w:tcBorders>
            <w:vAlign w:val="center"/>
          </w:tcPr>
          <w:p w14:paraId="7BEE40CE">
            <w:pPr>
              <w:pStyle w:val="7"/>
              <w:spacing w:before="0" w:after="0" w:line="640" w:lineRule="exact"/>
              <w:jc w:val="both"/>
              <w:rPr>
                <w:rFonts w:ascii="仿宋" w:hAnsi="仿宋" w:eastAsia="仿宋" w:cs="仿宋"/>
                <w:b w:val="0"/>
                <w:bCs w:val="0"/>
                <w:sz w:val="21"/>
                <w:szCs w:val="21"/>
              </w:rPr>
            </w:pPr>
            <w:r>
              <w:rPr>
                <w:rFonts w:hint="eastAsia" w:ascii="仿宋" w:hAnsi="仿宋" w:eastAsia="仿宋" w:cs="仿宋"/>
                <w:b w:val="0"/>
                <w:bCs w:val="0"/>
                <w:sz w:val="21"/>
                <w:szCs w:val="21"/>
              </w:rPr>
              <w:t>3分（结题且优秀）2分（结题且良好）1分（结题且合格）</w:t>
            </w:r>
          </w:p>
        </w:tc>
      </w:tr>
    </w:tbl>
    <w:p w14:paraId="6DB3D39F">
      <w:pPr>
        <w:pStyle w:val="7"/>
        <w:spacing w:before="0" w:after="0" w:line="640" w:lineRule="exact"/>
        <w:ind w:firstLine="560" w:firstLineChars="200"/>
        <w:jc w:val="left"/>
        <w:rPr>
          <w:rFonts w:ascii="仿宋" w:hAnsi="仿宋" w:eastAsia="仿宋" w:cs="仿宋"/>
          <w:sz w:val="28"/>
          <w:szCs w:val="28"/>
        </w:rPr>
      </w:pPr>
      <w:r>
        <w:rPr>
          <w:rFonts w:hint="eastAsia" w:ascii="仿宋" w:hAnsi="仿宋" w:eastAsia="仿宋" w:cs="仿宋"/>
          <w:b w:val="0"/>
          <w:bCs w:val="0"/>
          <w:sz w:val="28"/>
          <w:szCs w:val="28"/>
        </w:rPr>
        <w:t>（六）创新创业项目得分（B6）共20分，项目的主持（负责）人按下表计算分值：</w:t>
      </w:r>
    </w:p>
    <w:p w14:paraId="26CA5DE5">
      <w:pPr>
        <w:pStyle w:val="7"/>
        <w:spacing w:before="0" w:after="0" w:line="640" w:lineRule="exact"/>
        <w:ind w:firstLine="562" w:firstLineChars="200"/>
        <w:jc w:val="left"/>
        <w:rPr>
          <w:rFonts w:ascii="仿宋" w:hAnsi="仿宋" w:eastAsia="仿宋" w:cs="仿宋"/>
          <w:bCs w:val="0"/>
          <w:sz w:val="28"/>
          <w:szCs w:val="28"/>
        </w:rPr>
      </w:pPr>
      <w:r>
        <w:rPr>
          <w:rFonts w:hint="eastAsia" w:ascii="仿宋" w:hAnsi="仿宋" w:eastAsia="仿宋" w:cs="仿宋"/>
          <w:bCs w:val="0"/>
          <w:sz w:val="28"/>
          <w:szCs w:val="28"/>
        </w:rPr>
        <w:t>注：</w:t>
      </w:r>
    </w:p>
    <w:p w14:paraId="3C80D9A8">
      <w:pPr>
        <w:numPr>
          <w:ilvl w:val="0"/>
          <w:numId w:val="2"/>
        </w:numPr>
        <w:spacing w:line="640" w:lineRule="exact"/>
        <w:ind w:left="298" w:leftChars="142" w:firstLine="560" w:firstLineChars="20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14:textFill>
            <w14:solidFill>
              <w14:schemeClr w14:val="tx1"/>
            </w14:solidFill>
          </w14:textFill>
        </w:rPr>
        <w:t>主持或参加多个科创项目者，只计最高一项得分，不累加。</w:t>
      </w:r>
    </w:p>
    <w:p w14:paraId="362AD61A">
      <w:pPr>
        <w:numPr>
          <w:ilvl w:val="0"/>
          <w:numId w:val="2"/>
        </w:numPr>
        <w:spacing w:line="640" w:lineRule="exact"/>
        <w:ind w:left="298" w:leftChars="142" w:firstLine="560" w:firstLineChars="200"/>
        <w:rPr>
          <w:rFonts w:asciiTheme="minorEastAsia" w:hAnsiTheme="minorEastAsia"/>
          <w:sz w:val="28"/>
          <w:szCs w:val="28"/>
        </w:rPr>
      </w:pPr>
      <w:r>
        <w:rPr>
          <w:rFonts w:hint="eastAsia" w:ascii="仿宋_GB2312" w:eastAsia="仿宋_GB2312"/>
          <w:color w:val="000000" w:themeColor="text1"/>
          <w:sz w:val="28"/>
          <w:szCs w:val="28"/>
          <w14:textFill>
            <w14:solidFill>
              <w14:schemeClr w14:val="tx1"/>
            </w14:solidFill>
          </w14:textFill>
        </w:rPr>
        <w:t>每位项目成员（不含项目负责人）得分由指导教师以及项目负责人根据学生参与项目情况按照主持人分值的0.9、0.8、0.7、0.6设置权重赋分。</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FC50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1012A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01012A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CE828">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4BC9E0"/>
    <w:multiLevelType w:val="singleLevel"/>
    <w:tmpl w:val="044BC9E0"/>
    <w:lvl w:ilvl="0" w:tentative="0">
      <w:start w:val="4"/>
      <w:numFmt w:val="chineseCounting"/>
      <w:suff w:val="nothing"/>
      <w:lvlText w:val="（%1）"/>
      <w:lvlJc w:val="left"/>
      <w:rPr>
        <w:rFonts w:hint="eastAsia"/>
      </w:rPr>
    </w:lvl>
  </w:abstractNum>
  <w:abstractNum w:abstractNumId="1">
    <w:nsid w:val="0C563C06"/>
    <w:multiLevelType w:val="singleLevel"/>
    <w:tmpl w:val="0C563C0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jM2YzODU4MDQ5ZTA2ZjkzNmIwOWU1ZGVhZmYwNDIifQ=="/>
  </w:docVars>
  <w:rsids>
    <w:rsidRoot w:val="00E20947"/>
    <w:rsid w:val="00070CC4"/>
    <w:rsid w:val="00075498"/>
    <w:rsid w:val="00091991"/>
    <w:rsid w:val="000F40CB"/>
    <w:rsid w:val="001165F8"/>
    <w:rsid w:val="001B5766"/>
    <w:rsid w:val="001C1F92"/>
    <w:rsid w:val="001D3253"/>
    <w:rsid w:val="001D5932"/>
    <w:rsid w:val="002328C5"/>
    <w:rsid w:val="0026363E"/>
    <w:rsid w:val="002C63B2"/>
    <w:rsid w:val="00351FA8"/>
    <w:rsid w:val="00375B05"/>
    <w:rsid w:val="003E5484"/>
    <w:rsid w:val="00427449"/>
    <w:rsid w:val="004518E6"/>
    <w:rsid w:val="004D17F8"/>
    <w:rsid w:val="004E0E60"/>
    <w:rsid w:val="004F7C37"/>
    <w:rsid w:val="00500F42"/>
    <w:rsid w:val="00504E88"/>
    <w:rsid w:val="005A2F50"/>
    <w:rsid w:val="005C3AB8"/>
    <w:rsid w:val="006005A4"/>
    <w:rsid w:val="006018AD"/>
    <w:rsid w:val="00614D97"/>
    <w:rsid w:val="006303CD"/>
    <w:rsid w:val="006314C9"/>
    <w:rsid w:val="00647CC4"/>
    <w:rsid w:val="0068439C"/>
    <w:rsid w:val="006A0CA9"/>
    <w:rsid w:val="006B1945"/>
    <w:rsid w:val="006B28D3"/>
    <w:rsid w:val="006D69DF"/>
    <w:rsid w:val="006F4AD3"/>
    <w:rsid w:val="00724E14"/>
    <w:rsid w:val="0080549D"/>
    <w:rsid w:val="0084227D"/>
    <w:rsid w:val="008C0ED7"/>
    <w:rsid w:val="008C64FC"/>
    <w:rsid w:val="008E761A"/>
    <w:rsid w:val="00911F7B"/>
    <w:rsid w:val="009259CA"/>
    <w:rsid w:val="009368BD"/>
    <w:rsid w:val="0095712D"/>
    <w:rsid w:val="00982D38"/>
    <w:rsid w:val="00985577"/>
    <w:rsid w:val="009D4DDF"/>
    <w:rsid w:val="009D621D"/>
    <w:rsid w:val="00A05CDF"/>
    <w:rsid w:val="00A23D5C"/>
    <w:rsid w:val="00A500ED"/>
    <w:rsid w:val="00A61ACA"/>
    <w:rsid w:val="00A7098E"/>
    <w:rsid w:val="00A8565F"/>
    <w:rsid w:val="00AB3D7C"/>
    <w:rsid w:val="00AC3A56"/>
    <w:rsid w:val="00B200EA"/>
    <w:rsid w:val="00B26402"/>
    <w:rsid w:val="00B755D5"/>
    <w:rsid w:val="00B86015"/>
    <w:rsid w:val="00B9421F"/>
    <w:rsid w:val="00B97A1A"/>
    <w:rsid w:val="00BB5FB5"/>
    <w:rsid w:val="00BC17AD"/>
    <w:rsid w:val="00BE01AD"/>
    <w:rsid w:val="00C02D9B"/>
    <w:rsid w:val="00C3034C"/>
    <w:rsid w:val="00C31FD9"/>
    <w:rsid w:val="00C32CD2"/>
    <w:rsid w:val="00C45FB0"/>
    <w:rsid w:val="00C47ADE"/>
    <w:rsid w:val="00C84827"/>
    <w:rsid w:val="00D546B1"/>
    <w:rsid w:val="00DB21C8"/>
    <w:rsid w:val="00DE6E02"/>
    <w:rsid w:val="00E177D5"/>
    <w:rsid w:val="00E20947"/>
    <w:rsid w:val="00E42902"/>
    <w:rsid w:val="00E45CE1"/>
    <w:rsid w:val="00E83F20"/>
    <w:rsid w:val="00E97A37"/>
    <w:rsid w:val="00EA274D"/>
    <w:rsid w:val="00EA6FBB"/>
    <w:rsid w:val="00EB0D02"/>
    <w:rsid w:val="00EE7D27"/>
    <w:rsid w:val="00F03505"/>
    <w:rsid w:val="00F155BD"/>
    <w:rsid w:val="00F24D62"/>
    <w:rsid w:val="00F50D17"/>
    <w:rsid w:val="00F91335"/>
    <w:rsid w:val="00F96B85"/>
    <w:rsid w:val="00FB2D3A"/>
    <w:rsid w:val="012D5C61"/>
    <w:rsid w:val="015C798E"/>
    <w:rsid w:val="01E353E1"/>
    <w:rsid w:val="02425AE5"/>
    <w:rsid w:val="024A1208"/>
    <w:rsid w:val="025E5C89"/>
    <w:rsid w:val="031E18D9"/>
    <w:rsid w:val="03343A44"/>
    <w:rsid w:val="037525C9"/>
    <w:rsid w:val="047968FD"/>
    <w:rsid w:val="04812FB5"/>
    <w:rsid w:val="048B4552"/>
    <w:rsid w:val="04BC5D9C"/>
    <w:rsid w:val="04F83B56"/>
    <w:rsid w:val="0506726F"/>
    <w:rsid w:val="05B95C82"/>
    <w:rsid w:val="05E74666"/>
    <w:rsid w:val="05F86E77"/>
    <w:rsid w:val="06365B4E"/>
    <w:rsid w:val="06463E35"/>
    <w:rsid w:val="068E0F70"/>
    <w:rsid w:val="06E37EEF"/>
    <w:rsid w:val="0761622A"/>
    <w:rsid w:val="0772134A"/>
    <w:rsid w:val="08F13695"/>
    <w:rsid w:val="09341EC1"/>
    <w:rsid w:val="098066ED"/>
    <w:rsid w:val="0A103E4E"/>
    <w:rsid w:val="0A587A02"/>
    <w:rsid w:val="0B04710A"/>
    <w:rsid w:val="0BC92158"/>
    <w:rsid w:val="0BFB46D3"/>
    <w:rsid w:val="0C985FD7"/>
    <w:rsid w:val="0D826488"/>
    <w:rsid w:val="0D87568F"/>
    <w:rsid w:val="0DE100D6"/>
    <w:rsid w:val="0E7C1918"/>
    <w:rsid w:val="0ED22C71"/>
    <w:rsid w:val="0EF10A5D"/>
    <w:rsid w:val="0F100279"/>
    <w:rsid w:val="0FE92889"/>
    <w:rsid w:val="100B2D5F"/>
    <w:rsid w:val="106972D0"/>
    <w:rsid w:val="108C686E"/>
    <w:rsid w:val="10F57BCC"/>
    <w:rsid w:val="11034D52"/>
    <w:rsid w:val="115C0AAB"/>
    <w:rsid w:val="11B737DE"/>
    <w:rsid w:val="1272248E"/>
    <w:rsid w:val="12B502CE"/>
    <w:rsid w:val="12BF199C"/>
    <w:rsid w:val="131309ED"/>
    <w:rsid w:val="13585324"/>
    <w:rsid w:val="138623DD"/>
    <w:rsid w:val="13C66FD0"/>
    <w:rsid w:val="13CA1B57"/>
    <w:rsid w:val="14F17E41"/>
    <w:rsid w:val="151757A5"/>
    <w:rsid w:val="158931D8"/>
    <w:rsid w:val="15A14397"/>
    <w:rsid w:val="15AA27EA"/>
    <w:rsid w:val="160772C0"/>
    <w:rsid w:val="168E6230"/>
    <w:rsid w:val="16D24148"/>
    <w:rsid w:val="16DC5863"/>
    <w:rsid w:val="16F67F9D"/>
    <w:rsid w:val="17085BB8"/>
    <w:rsid w:val="170C16CC"/>
    <w:rsid w:val="177734CD"/>
    <w:rsid w:val="178863EE"/>
    <w:rsid w:val="18075FA7"/>
    <w:rsid w:val="189B6944"/>
    <w:rsid w:val="18A378C9"/>
    <w:rsid w:val="1925412A"/>
    <w:rsid w:val="19764389"/>
    <w:rsid w:val="199136F7"/>
    <w:rsid w:val="19CA22C7"/>
    <w:rsid w:val="1A3B797F"/>
    <w:rsid w:val="1A480703"/>
    <w:rsid w:val="1A9903CD"/>
    <w:rsid w:val="1AA462A8"/>
    <w:rsid w:val="1AA66E7A"/>
    <w:rsid w:val="1AEF699C"/>
    <w:rsid w:val="1B09161B"/>
    <w:rsid w:val="1B1C4C63"/>
    <w:rsid w:val="1BD55931"/>
    <w:rsid w:val="1C23380D"/>
    <w:rsid w:val="1D4213AB"/>
    <w:rsid w:val="1DCC3DBA"/>
    <w:rsid w:val="1E687EAA"/>
    <w:rsid w:val="1E875215"/>
    <w:rsid w:val="1ED63AA6"/>
    <w:rsid w:val="1F0B2D06"/>
    <w:rsid w:val="1F522CBC"/>
    <w:rsid w:val="1F572761"/>
    <w:rsid w:val="1F7207DF"/>
    <w:rsid w:val="1FAB6CE1"/>
    <w:rsid w:val="1FF646E2"/>
    <w:rsid w:val="20750321"/>
    <w:rsid w:val="20806C29"/>
    <w:rsid w:val="208E5B01"/>
    <w:rsid w:val="20A12E4A"/>
    <w:rsid w:val="20A44B2A"/>
    <w:rsid w:val="21122B7F"/>
    <w:rsid w:val="211A6AE5"/>
    <w:rsid w:val="219E6B41"/>
    <w:rsid w:val="21D77DC1"/>
    <w:rsid w:val="221E2CCC"/>
    <w:rsid w:val="222D1C2F"/>
    <w:rsid w:val="22A56B15"/>
    <w:rsid w:val="22D91667"/>
    <w:rsid w:val="23A32664"/>
    <w:rsid w:val="23FC6E5F"/>
    <w:rsid w:val="23FE2718"/>
    <w:rsid w:val="248E2241"/>
    <w:rsid w:val="261D7ECD"/>
    <w:rsid w:val="26255AE8"/>
    <w:rsid w:val="26296721"/>
    <w:rsid w:val="26555716"/>
    <w:rsid w:val="267802EA"/>
    <w:rsid w:val="26C36B87"/>
    <w:rsid w:val="26C37006"/>
    <w:rsid w:val="26F90735"/>
    <w:rsid w:val="271A33B0"/>
    <w:rsid w:val="2786369B"/>
    <w:rsid w:val="27C56959"/>
    <w:rsid w:val="27D56FF1"/>
    <w:rsid w:val="27D832C5"/>
    <w:rsid w:val="28733825"/>
    <w:rsid w:val="296F6C24"/>
    <w:rsid w:val="29D2521E"/>
    <w:rsid w:val="29EB48A9"/>
    <w:rsid w:val="29F25872"/>
    <w:rsid w:val="2A515D13"/>
    <w:rsid w:val="2A9C2BD2"/>
    <w:rsid w:val="2B21236F"/>
    <w:rsid w:val="2B5C79DA"/>
    <w:rsid w:val="2BD4136D"/>
    <w:rsid w:val="2BD442DA"/>
    <w:rsid w:val="2BE91A1F"/>
    <w:rsid w:val="2C7B2ECF"/>
    <w:rsid w:val="2D204FB6"/>
    <w:rsid w:val="2D66798C"/>
    <w:rsid w:val="2D7311A8"/>
    <w:rsid w:val="2E3C0C1A"/>
    <w:rsid w:val="2E767894"/>
    <w:rsid w:val="2E904CE9"/>
    <w:rsid w:val="2EEC28A0"/>
    <w:rsid w:val="2F1136C8"/>
    <w:rsid w:val="2F387909"/>
    <w:rsid w:val="2F517C73"/>
    <w:rsid w:val="2FC43093"/>
    <w:rsid w:val="2FDC5E4F"/>
    <w:rsid w:val="2FDE488C"/>
    <w:rsid w:val="2FEA2401"/>
    <w:rsid w:val="30324192"/>
    <w:rsid w:val="307E5BB5"/>
    <w:rsid w:val="30C1103D"/>
    <w:rsid w:val="30DA7426"/>
    <w:rsid w:val="30E311D0"/>
    <w:rsid w:val="310E3497"/>
    <w:rsid w:val="31260804"/>
    <w:rsid w:val="319E48F7"/>
    <w:rsid w:val="31A737AC"/>
    <w:rsid w:val="31DA5382"/>
    <w:rsid w:val="31E7004C"/>
    <w:rsid w:val="32B06EF2"/>
    <w:rsid w:val="32C21F3F"/>
    <w:rsid w:val="32C541A5"/>
    <w:rsid w:val="338740B6"/>
    <w:rsid w:val="339C26DC"/>
    <w:rsid w:val="34882906"/>
    <w:rsid w:val="34C57200"/>
    <w:rsid w:val="3521380C"/>
    <w:rsid w:val="35710EAA"/>
    <w:rsid w:val="35E93D01"/>
    <w:rsid w:val="368714BA"/>
    <w:rsid w:val="36A2332D"/>
    <w:rsid w:val="36D1674C"/>
    <w:rsid w:val="36D473B5"/>
    <w:rsid w:val="36FE4ADD"/>
    <w:rsid w:val="370853F1"/>
    <w:rsid w:val="37B6463C"/>
    <w:rsid w:val="381E260E"/>
    <w:rsid w:val="3840499D"/>
    <w:rsid w:val="39B049C2"/>
    <w:rsid w:val="3A462F27"/>
    <w:rsid w:val="3A726279"/>
    <w:rsid w:val="3A886145"/>
    <w:rsid w:val="3AB75E01"/>
    <w:rsid w:val="3AE86C15"/>
    <w:rsid w:val="3B5D22E0"/>
    <w:rsid w:val="3B5F48F4"/>
    <w:rsid w:val="3BC02864"/>
    <w:rsid w:val="3BD91BB8"/>
    <w:rsid w:val="3C487C0A"/>
    <w:rsid w:val="3CBB72AE"/>
    <w:rsid w:val="3CE86133"/>
    <w:rsid w:val="3D0D1072"/>
    <w:rsid w:val="3D386E98"/>
    <w:rsid w:val="3DDF3C7F"/>
    <w:rsid w:val="3E955640"/>
    <w:rsid w:val="3EEC7CAE"/>
    <w:rsid w:val="3F0831BC"/>
    <w:rsid w:val="3F185CE9"/>
    <w:rsid w:val="3F6E1604"/>
    <w:rsid w:val="3FF61E6C"/>
    <w:rsid w:val="402B5A28"/>
    <w:rsid w:val="40E8143D"/>
    <w:rsid w:val="417816B5"/>
    <w:rsid w:val="41A95ED1"/>
    <w:rsid w:val="42022339"/>
    <w:rsid w:val="42063A97"/>
    <w:rsid w:val="42301277"/>
    <w:rsid w:val="423050F8"/>
    <w:rsid w:val="428D31B2"/>
    <w:rsid w:val="42D8625A"/>
    <w:rsid w:val="42DA32B5"/>
    <w:rsid w:val="4339766C"/>
    <w:rsid w:val="433A57AA"/>
    <w:rsid w:val="436F61FF"/>
    <w:rsid w:val="43E07DFA"/>
    <w:rsid w:val="440F39B7"/>
    <w:rsid w:val="444363F0"/>
    <w:rsid w:val="448B2AB9"/>
    <w:rsid w:val="44CD5709"/>
    <w:rsid w:val="44EE4DF6"/>
    <w:rsid w:val="451430AD"/>
    <w:rsid w:val="451A35D2"/>
    <w:rsid w:val="455D076D"/>
    <w:rsid w:val="46225F73"/>
    <w:rsid w:val="467E52BC"/>
    <w:rsid w:val="46C125DC"/>
    <w:rsid w:val="47DD68D4"/>
    <w:rsid w:val="47E168E9"/>
    <w:rsid w:val="47E744AA"/>
    <w:rsid w:val="4827033A"/>
    <w:rsid w:val="482C5D0F"/>
    <w:rsid w:val="486148C1"/>
    <w:rsid w:val="489C7900"/>
    <w:rsid w:val="49370525"/>
    <w:rsid w:val="49830BDB"/>
    <w:rsid w:val="49922A87"/>
    <w:rsid w:val="49BB34B2"/>
    <w:rsid w:val="49F35CDF"/>
    <w:rsid w:val="4A2F038B"/>
    <w:rsid w:val="4A596D9E"/>
    <w:rsid w:val="4AB57E21"/>
    <w:rsid w:val="4AE406B9"/>
    <w:rsid w:val="4BE84496"/>
    <w:rsid w:val="4C3825C0"/>
    <w:rsid w:val="4C416153"/>
    <w:rsid w:val="4C573E1C"/>
    <w:rsid w:val="4C83622C"/>
    <w:rsid w:val="4CC0176E"/>
    <w:rsid w:val="4D514D0A"/>
    <w:rsid w:val="4D8D7EEF"/>
    <w:rsid w:val="4DC53CB3"/>
    <w:rsid w:val="4DD7059A"/>
    <w:rsid w:val="4DDE438C"/>
    <w:rsid w:val="4EC13644"/>
    <w:rsid w:val="4EC71EF4"/>
    <w:rsid w:val="4ECC6366"/>
    <w:rsid w:val="4F18319B"/>
    <w:rsid w:val="4F5A782A"/>
    <w:rsid w:val="4F7F321A"/>
    <w:rsid w:val="4FBF75A2"/>
    <w:rsid w:val="51214505"/>
    <w:rsid w:val="51865B91"/>
    <w:rsid w:val="523976E8"/>
    <w:rsid w:val="524644C3"/>
    <w:rsid w:val="5298570E"/>
    <w:rsid w:val="52A03BD4"/>
    <w:rsid w:val="52AD0691"/>
    <w:rsid w:val="53110A00"/>
    <w:rsid w:val="535B29F2"/>
    <w:rsid w:val="54105D1D"/>
    <w:rsid w:val="54152C0E"/>
    <w:rsid w:val="543B1718"/>
    <w:rsid w:val="54591DFA"/>
    <w:rsid w:val="54A9049B"/>
    <w:rsid w:val="55CB04D1"/>
    <w:rsid w:val="5639163B"/>
    <w:rsid w:val="56493DDE"/>
    <w:rsid w:val="56B20E00"/>
    <w:rsid w:val="56B464D9"/>
    <w:rsid w:val="56CC2B49"/>
    <w:rsid w:val="574507A3"/>
    <w:rsid w:val="58C20ABA"/>
    <w:rsid w:val="592801F9"/>
    <w:rsid w:val="59432298"/>
    <w:rsid w:val="599E02BF"/>
    <w:rsid w:val="59B02237"/>
    <w:rsid w:val="59C7269D"/>
    <w:rsid w:val="59E56068"/>
    <w:rsid w:val="59E96192"/>
    <w:rsid w:val="59F51D6A"/>
    <w:rsid w:val="5A11662D"/>
    <w:rsid w:val="5A61655E"/>
    <w:rsid w:val="5A883DCA"/>
    <w:rsid w:val="5B1909C7"/>
    <w:rsid w:val="5B2F4E1D"/>
    <w:rsid w:val="5BD72E4F"/>
    <w:rsid w:val="5C260829"/>
    <w:rsid w:val="5C564A82"/>
    <w:rsid w:val="5C69119F"/>
    <w:rsid w:val="5D7200B6"/>
    <w:rsid w:val="5DC13A53"/>
    <w:rsid w:val="5DF21F21"/>
    <w:rsid w:val="5E481E99"/>
    <w:rsid w:val="5EA63914"/>
    <w:rsid w:val="5F2B3EA5"/>
    <w:rsid w:val="5F322EF9"/>
    <w:rsid w:val="5F6228C7"/>
    <w:rsid w:val="5F63485A"/>
    <w:rsid w:val="5FAF5162"/>
    <w:rsid w:val="5FCB2BBE"/>
    <w:rsid w:val="5FEA0B84"/>
    <w:rsid w:val="600E3D22"/>
    <w:rsid w:val="60245DBB"/>
    <w:rsid w:val="603532C1"/>
    <w:rsid w:val="60487DFC"/>
    <w:rsid w:val="607D71FF"/>
    <w:rsid w:val="60A77491"/>
    <w:rsid w:val="60F033C1"/>
    <w:rsid w:val="60FC44C5"/>
    <w:rsid w:val="616640F3"/>
    <w:rsid w:val="61B61FF3"/>
    <w:rsid w:val="61D93872"/>
    <w:rsid w:val="625E7480"/>
    <w:rsid w:val="626E195E"/>
    <w:rsid w:val="62985E6C"/>
    <w:rsid w:val="62A26A87"/>
    <w:rsid w:val="6311778C"/>
    <w:rsid w:val="6319748A"/>
    <w:rsid w:val="63662B30"/>
    <w:rsid w:val="638C3500"/>
    <w:rsid w:val="63DA0F0F"/>
    <w:rsid w:val="640B4504"/>
    <w:rsid w:val="64883D79"/>
    <w:rsid w:val="64DC01E8"/>
    <w:rsid w:val="652A37D1"/>
    <w:rsid w:val="653512FC"/>
    <w:rsid w:val="661B530B"/>
    <w:rsid w:val="664B501B"/>
    <w:rsid w:val="66677240"/>
    <w:rsid w:val="668C2C15"/>
    <w:rsid w:val="66A23E71"/>
    <w:rsid w:val="66D9667B"/>
    <w:rsid w:val="67264CB3"/>
    <w:rsid w:val="672E75A8"/>
    <w:rsid w:val="683B1234"/>
    <w:rsid w:val="683D13E8"/>
    <w:rsid w:val="689A0AB2"/>
    <w:rsid w:val="68D50120"/>
    <w:rsid w:val="69047BA1"/>
    <w:rsid w:val="691A64D0"/>
    <w:rsid w:val="69FB2F0D"/>
    <w:rsid w:val="6A18009C"/>
    <w:rsid w:val="6A605D5F"/>
    <w:rsid w:val="6AD56091"/>
    <w:rsid w:val="6B352D52"/>
    <w:rsid w:val="6B4B0285"/>
    <w:rsid w:val="6B4E500B"/>
    <w:rsid w:val="6B4F3F91"/>
    <w:rsid w:val="6B755A06"/>
    <w:rsid w:val="6BF81DE9"/>
    <w:rsid w:val="6C150B29"/>
    <w:rsid w:val="6C4B48AF"/>
    <w:rsid w:val="6C823EF2"/>
    <w:rsid w:val="6DB3009A"/>
    <w:rsid w:val="6DCC19E7"/>
    <w:rsid w:val="6EE177DA"/>
    <w:rsid w:val="6EFA3F7F"/>
    <w:rsid w:val="6F03595C"/>
    <w:rsid w:val="6F1C019E"/>
    <w:rsid w:val="6F2654D6"/>
    <w:rsid w:val="6F805415"/>
    <w:rsid w:val="6FED26D4"/>
    <w:rsid w:val="70227F74"/>
    <w:rsid w:val="706E3651"/>
    <w:rsid w:val="70815483"/>
    <w:rsid w:val="70EE3848"/>
    <w:rsid w:val="71471E29"/>
    <w:rsid w:val="71DD69C3"/>
    <w:rsid w:val="720361D6"/>
    <w:rsid w:val="72120A5F"/>
    <w:rsid w:val="728A6081"/>
    <w:rsid w:val="72A11A26"/>
    <w:rsid w:val="7333205A"/>
    <w:rsid w:val="737A4E32"/>
    <w:rsid w:val="73E42A9F"/>
    <w:rsid w:val="74100036"/>
    <w:rsid w:val="74656606"/>
    <w:rsid w:val="74816E01"/>
    <w:rsid w:val="759D7BA7"/>
    <w:rsid w:val="762D16D8"/>
    <w:rsid w:val="76E007D4"/>
    <w:rsid w:val="76EE5B27"/>
    <w:rsid w:val="77056EC9"/>
    <w:rsid w:val="77177236"/>
    <w:rsid w:val="77512018"/>
    <w:rsid w:val="776B05FB"/>
    <w:rsid w:val="776E3904"/>
    <w:rsid w:val="77CD22AB"/>
    <w:rsid w:val="77ED4235"/>
    <w:rsid w:val="78025987"/>
    <w:rsid w:val="7829312D"/>
    <w:rsid w:val="78820D1E"/>
    <w:rsid w:val="788860C0"/>
    <w:rsid w:val="78C059B8"/>
    <w:rsid w:val="79491987"/>
    <w:rsid w:val="797E1153"/>
    <w:rsid w:val="79AA6050"/>
    <w:rsid w:val="79AC0800"/>
    <w:rsid w:val="7A081EDB"/>
    <w:rsid w:val="7AEB26BD"/>
    <w:rsid w:val="7B17626C"/>
    <w:rsid w:val="7B2F3497"/>
    <w:rsid w:val="7BB56AAA"/>
    <w:rsid w:val="7C0017DF"/>
    <w:rsid w:val="7C6B1E40"/>
    <w:rsid w:val="7C93555B"/>
    <w:rsid w:val="7D1A53F2"/>
    <w:rsid w:val="7D2F3C22"/>
    <w:rsid w:val="7D310C72"/>
    <w:rsid w:val="7DBD5F66"/>
    <w:rsid w:val="7DC26892"/>
    <w:rsid w:val="7FEC0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Title"/>
    <w:basedOn w:val="1"/>
    <w:next w:val="1"/>
    <w:link w:val="14"/>
    <w:qFormat/>
    <w:uiPriority w:val="10"/>
    <w:pPr>
      <w:spacing w:before="240" w:after="60"/>
      <w:jc w:val="center"/>
      <w:outlineLvl w:val="0"/>
    </w:pPr>
    <w:rPr>
      <w:rFonts w:eastAsia="宋体" w:asciiTheme="majorHAnsi" w:hAnsiTheme="majorHAnsi" w:cstheme="majorBidi"/>
      <w:b/>
      <w:bCs/>
      <w:sz w:val="32"/>
      <w:szCs w:val="32"/>
    </w:r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日期 字符"/>
    <w:basedOn w:val="9"/>
    <w:link w:val="2"/>
    <w:semiHidden/>
    <w:qFormat/>
    <w:uiPriority w:val="99"/>
  </w:style>
  <w:style w:type="character" w:customStyle="1" w:styleId="14">
    <w:name w:val="标题 字符"/>
    <w:basedOn w:val="9"/>
    <w:link w:val="7"/>
    <w:qFormat/>
    <w:uiPriority w:val="10"/>
    <w:rPr>
      <w:rFonts w:eastAsia="宋体" w:asciiTheme="majorHAnsi" w:hAnsiTheme="majorHAnsi" w:cstheme="majorBidi"/>
      <w:b/>
      <w:bCs/>
      <w:sz w:val="32"/>
      <w:szCs w:val="32"/>
    </w:rPr>
  </w:style>
  <w:style w:type="character" w:customStyle="1" w:styleId="15">
    <w:name w:val="批注框文本 字符"/>
    <w:basedOn w:val="9"/>
    <w:link w:val="3"/>
    <w:semiHidden/>
    <w:qFormat/>
    <w:uiPriority w:val="99"/>
    <w:rPr>
      <w:sz w:val="18"/>
      <w:szCs w:val="18"/>
    </w:rPr>
  </w:style>
  <w:style w:type="paragraph" w:customStyle="1" w:styleId="16">
    <w:name w:val="p15"/>
    <w:basedOn w:val="1"/>
    <w:qFormat/>
    <w:uiPriority w:val="0"/>
    <w:pPr>
      <w:widowControl/>
      <w:spacing w:after="120"/>
      <w:ind w:left="420"/>
    </w:pPr>
    <w:rPr>
      <w:rFonts w:ascii="Times New Roman" w:hAnsi="Times New Roman" w:eastAsia="宋体" w:cs="Times New Roman"/>
      <w:kern w:val="0"/>
      <w:szCs w:val="21"/>
    </w:rPr>
  </w:style>
  <w:style w:type="character" w:customStyle="1" w:styleId="17">
    <w:name w:val="font01"/>
    <w:basedOn w:val="9"/>
    <w:qFormat/>
    <w:uiPriority w:val="0"/>
    <w:rPr>
      <w:rFonts w:hint="eastAsia" w:ascii="宋体" w:hAnsi="宋体" w:eastAsia="宋体" w:cs="宋体"/>
      <w:color w:val="000000"/>
      <w:sz w:val="24"/>
      <w:szCs w:val="24"/>
      <w:u w:val="none"/>
    </w:rPr>
  </w:style>
  <w:style w:type="character" w:customStyle="1" w:styleId="18">
    <w:name w:val="font21"/>
    <w:basedOn w:val="9"/>
    <w:qFormat/>
    <w:uiPriority w:val="0"/>
    <w:rPr>
      <w:rFonts w:hint="eastAsia" w:ascii="宋体" w:hAnsi="宋体" w:eastAsia="宋体" w:cs="宋体"/>
      <w:color w:val="000000"/>
      <w:sz w:val="24"/>
      <w:szCs w:val="24"/>
      <w:u w:val="none"/>
    </w:rPr>
  </w:style>
  <w:style w:type="character" w:customStyle="1" w:styleId="19">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3236</Words>
  <Characters>3418</Characters>
  <Lines>24</Lines>
  <Paragraphs>6</Paragraphs>
  <TotalTime>10</TotalTime>
  <ScaleCrop>false</ScaleCrop>
  <LinksUpToDate>false</LinksUpToDate>
  <CharactersWithSpaces>3474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2018-08-03T15:44:00Z</dcterms:created>
  <dc:creator>杨阳</dc:creator>
  <cp:lastModifiedBy>木心</cp:lastModifiedBy>
  <cp:lastPrinted>2025-09-09T08:27:00Z</cp:lastPrinted>
  <dcterms:modified xsi:type="dcterms:W3CDTF">2025-09-10T02:48:53Z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73238361EBBD4B1997D1A54AF1AC6BCB</vt:lpwstr>
  </property>
  <property fmtid="{D5CDD505-2E9C-101B-9397-08002B2CF9AE}" pid="4" name="KSOTemplateDocerSaveRecord">
    <vt:lpwstr>eyJoZGlkIjoiNGFjM2YzODU4MDQ5ZTA2ZjkzNmIwOWU1ZGVhZmYwNDIiLCJ1c2VySWQiOiIxMjExODY0ODk2In0=</vt:lpwstr>
  </property>
</Properties>
</file>