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AFA3C">
      <w:pPr>
        <w:spacing w:line="360" w:lineRule="auto"/>
        <w:jc w:val="center"/>
        <w:rPr>
          <w:rFonts w:ascii="仿宋" w:hAnsi="仿宋" w:eastAsia="仿宋" w:cs="仿宋"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36"/>
          <w:szCs w:val="32"/>
        </w:rPr>
        <w:t>研究生智育测评标准</w:t>
      </w:r>
    </w:p>
    <w:p w14:paraId="33DE8E4A">
      <w:pPr>
        <w:spacing w:line="360" w:lineRule="auto"/>
        <w:rPr>
          <w:rFonts w:ascii="仿宋" w:hAnsi="仿宋" w:eastAsia="仿宋" w:cs="仿宋"/>
          <w:b/>
          <w:sz w:val="28"/>
          <w:szCs w:val="32"/>
        </w:rPr>
      </w:pPr>
      <w:r>
        <w:rPr>
          <w:rFonts w:hint="eastAsia" w:ascii="仿宋" w:hAnsi="仿宋" w:eastAsia="仿宋" w:cs="仿宋"/>
          <w:b/>
          <w:sz w:val="28"/>
          <w:szCs w:val="32"/>
        </w:rPr>
        <w:t>一、成绩构成</w:t>
      </w:r>
    </w:p>
    <w:p w14:paraId="7C057316">
      <w:pPr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研究生智育测评评分由课程成绩（</w:t>
      </w:r>
      <w:r>
        <w:rPr>
          <w:rFonts w:ascii="仿宋" w:hAnsi="仿宋" w:eastAsia="仿宋" w:cs="仿宋"/>
          <w:sz w:val="28"/>
          <w:szCs w:val="32"/>
        </w:rPr>
        <w:t>A）、科研创新（B）、专业实践（C）及扣分项（D）组</w:t>
      </w:r>
      <w:bookmarkStart w:id="0" w:name="_GoBack"/>
      <w:bookmarkEnd w:id="0"/>
      <w:r>
        <w:rPr>
          <w:rFonts w:ascii="仿宋" w:hAnsi="仿宋" w:eastAsia="仿宋" w:cs="仿宋"/>
          <w:sz w:val="28"/>
          <w:szCs w:val="32"/>
        </w:rPr>
        <w:t>成，前三项每项满分100分。最终成绩 = aA + bB + cC – D（a、b、c为不同系数，二年级：a = 0.5、b = 0.3、c = 0.2；三年级：a = 0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.3</w:t>
      </w:r>
      <w:r>
        <w:rPr>
          <w:rFonts w:ascii="仿宋" w:hAnsi="仿宋" w:eastAsia="仿宋" w:cs="仿宋"/>
          <w:sz w:val="28"/>
          <w:szCs w:val="32"/>
        </w:rPr>
        <w:t>、b = 0.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28"/>
          <w:szCs w:val="32"/>
        </w:rPr>
        <w:t>、c = 0.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</w:t>
      </w:r>
      <w:r>
        <w:rPr>
          <w:rFonts w:ascii="仿宋" w:hAnsi="仿宋" w:eastAsia="仿宋" w:cs="仿宋"/>
          <w:sz w:val="28"/>
          <w:szCs w:val="32"/>
        </w:rPr>
        <w:t>），最终成绩满分100分。</w:t>
      </w:r>
    </w:p>
    <w:p w14:paraId="781D1AC2">
      <w:pPr>
        <w:spacing w:line="360" w:lineRule="auto"/>
        <w:rPr>
          <w:rFonts w:ascii="仿宋" w:hAnsi="仿宋" w:eastAsia="仿宋" w:cs="仿宋"/>
          <w:b/>
          <w:sz w:val="28"/>
          <w:szCs w:val="32"/>
        </w:rPr>
      </w:pPr>
      <w:r>
        <w:rPr>
          <w:rFonts w:hint="eastAsia" w:ascii="仿宋" w:hAnsi="仿宋" w:eastAsia="仿宋" w:cs="仿宋"/>
          <w:b/>
          <w:sz w:val="28"/>
          <w:szCs w:val="32"/>
        </w:rPr>
        <w:t>二、课程成绩（A）</w:t>
      </w:r>
    </w:p>
    <w:p w14:paraId="0F9889C7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课程成绩满分100分，按权重合成计入总成绩。课程成绩评分计算公式为：课程成绩评分</w:t>
      </w:r>
      <w:r>
        <w:rPr>
          <w:rFonts w:ascii="仿宋" w:hAnsi="仿宋" w:eastAsia="仿宋" w:cs="仿宋"/>
          <w:sz w:val="28"/>
          <w:szCs w:val="32"/>
        </w:rPr>
        <w:t>=[Σ（课程成绩×学分）/Σ学分]，其中课程是指本学年所修的课程（不含补本科课程），如课程按优、良、中、及格、不及格计分，优按90分计，良按80分计，中按70分计，及格按60分计</w:t>
      </w:r>
      <w:r>
        <w:rPr>
          <w:rFonts w:hint="eastAsia" w:ascii="仿宋" w:hAnsi="仿宋" w:eastAsia="仿宋" w:cs="仿宋"/>
          <w:sz w:val="28"/>
          <w:szCs w:val="32"/>
        </w:rPr>
        <w:t>，由研究生办公室统一出具成绩证明。</w:t>
      </w:r>
    </w:p>
    <w:p w14:paraId="69EA5029">
      <w:pPr>
        <w:spacing w:line="360" w:lineRule="auto"/>
        <w:rPr>
          <w:rFonts w:ascii="仿宋" w:hAnsi="仿宋" w:eastAsia="仿宋" w:cs="仿宋"/>
          <w:b/>
          <w:sz w:val="28"/>
          <w:szCs w:val="32"/>
        </w:rPr>
      </w:pPr>
      <w:r>
        <w:rPr>
          <w:rFonts w:hint="eastAsia" w:ascii="仿宋" w:hAnsi="仿宋" w:eastAsia="仿宋" w:cs="仿宋"/>
          <w:b/>
          <w:sz w:val="28"/>
          <w:szCs w:val="32"/>
        </w:rPr>
        <w:t>三、科研创新（B）</w:t>
      </w:r>
    </w:p>
    <w:p w14:paraId="5D122FE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科研创新满分100分，按权重合成计入总成绩。测评内容主要包括研究生在科研创新方面取得的成绩,由基本分、科研创新成果奖励加分两个部分组成。</w:t>
      </w:r>
    </w:p>
    <w:p w14:paraId="1DC57AAE">
      <w:pPr>
        <w:spacing w:line="360" w:lineRule="auto"/>
        <w:rPr>
          <w:rFonts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（一）基本分（满分60分）</w:t>
      </w:r>
    </w:p>
    <w:p w14:paraId="3C00280C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基本分由研究生导师（含联合培养导师等）负责评分。低年级研究生重点考察科研精神和科研潜力，高年级研究生重点考察科研工作的实际表现。</w:t>
      </w:r>
    </w:p>
    <w:p w14:paraId="6D0D2F18">
      <w:pPr>
        <w:spacing w:line="360" w:lineRule="auto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（二）成果加分（满分40分）</w:t>
      </w:r>
      <w:r>
        <w:rPr>
          <w:rFonts w:hint="eastAsia" w:ascii="仿宋" w:hAnsi="仿宋" w:eastAsia="仿宋" w:cs="仿宋"/>
          <w:sz w:val="28"/>
          <w:szCs w:val="32"/>
        </w:rPr>
        <w:t>，具体评价标准如下：</w:t>
      </w:r>
    </w:p>
    <w:p w14:paraId="2DD4AAA6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科研创新成果主要包括学术期刊论文、学术会议报告、软件著作权、专著、专利、科研获奖、著作权、创新创业竞赛等方面表现情况。</w:t>
      </w:r>
    </w:p>
    <w:p w14:paraId="52A370C1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1.独立或共同公开发表论文、专著（学校为第一单位，第二、第三作者分别按照第一作者加分的80%、60%计算加分）：</w:t>
      </w:r>
    </w:p>
    <w:p w14:paraId="63297CC5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（1）被</w:t>
      </w:r>
      <w:r>
        <w:rPr>
          <w:rFonts w:ascii="仿宋" w:hAnsi="仿宋" w:eastAsia="仿宋" w:cs="仿宋"/>
          <w:sz w:val="28"/>
          <w:szCs w:val="32"/>
        </w:rPr>
        <w:t>SSCI、SCI和A&amp;HCI（IF≥2.0）全文收录的学术论文或在《中国社会科学》发表学术论文</w:t>
      </w:r>
      <w:r>
        <w:rPr>
          <w:rFonts w:hint="eastAsia" w:ascii="仿宋" w:hAnsi="仿宋" w:eastAsia="仿宋" w:cs="仿宋"/>
          <w:sz w:val="28"/>
          <w:szCs w:val="32"/>
        </w:rPr>
        <w:t>、</w:t>
      </w:r>
      <w:r>
        <w:rPr>
          <w:rFonts w:ascii="仿宋" w:hAnsi="仿宋" w:eastAsia="仿宋" w:cs="仿宋"/>
          <w:sz w:val="28"/>
          <w:szCs w:val="32"/>
        </w:rPr>
        <w:t>被《新华文摘》全文转载的学术论文或在各学科权威期刊（具体目录详见附录）论文</w:t>
      </w:r>
      <w:r>
        <w:rPr>
          <w:rFonts w:hint="eastAsia" w:ascii="仿宋" w:hAnsi="仿宋" w:eastAsia="仿宋" w:cs="仿宋"/>
          <w:sz w:val="28"/>
          <w:szCs w:val="32"/>
        </w:rPr>
        <w:t>、</w:t>
      </w:r>
      <w:r>
        <w:rPr>
          <w:rFonts w:ascii="仿宋" w:hAnsi="仿宋" w:eastAsia="仿宋" w:cs="仿宋"/>
          <w:sz w:val="28"/>
          <w:szCs w:val="32"/>
        </w:rPr>
        <w:t>EI（必须是国外期刊，会议论文不在其列）全文收录、《中国社会科学文摘》全文收录、《人民日报》或《光明日报》理论版（1500字以上）、在学校确定的A类期刊论文</w:t>
      </w:r>
      <w:r>
        <w:rPr>
          <w:rFonts w:hint="eastAsia" w:ascii="仿宋" w:hAnsi="仿宋" w:eastAsia="仿宋" w:cs="仿宋"/>
          <w:sz w:val="28"/>
          <w:szCs w:val="32"/>
        </w:rPr>
        <w:t>每篇计30分。</w:t>
      </w:r>
    </w:p>
    <w:p w14:paraId="49A4778B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（2）在</w:t>
      </w:r>
      <w:r>
        <w:rPr>
          <w:rFonts w:ascii="仿宋" w:hAnsi="仿宋" w:eastAsia="仿宋" w:cs="仿宋"/>
          <w:sz w:val="28"/>
          <w:szCs w:val="32"/>
        </w:rPr>
        <w:t>CSSCI源刊上发表的学术论文（《新华文摘》摘要、人大复印资料转载和学校B刊目录内刊物发表的视同CSSCI源期刊）</w:t>
      </w:r>
      <w:r>
        <w:rPr>
          <w:rFonts w:hint="eastAsia" w:ascii="仿宋" w:hAnsi="仿宋" w:eastAsia="仿宋" w:cs="仿宋"/>
          <w:sz w:val="28"/>
          <w:szCs w:val="32"/>
        </w:rPr>
        <w:t>每篇计20分。</w:t>
      </w:r>
    </w:p>
    <w:p w14:paraId="458AF181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（3）发表核心期刊论文（以北京大学图书馆最新核心期刊目录为准）每篇计15分。</w:t>
      </w:r>
    </w:p>
    <w:p w14:paraId="7E5FABD0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（4）发表一般期刊论文计5-8分，其中翻译类计8分，非翻译类计5分。</w:t>
      </w:r>
    </w:p>
    <w:p w14:paraId="374F557B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（5）独立出版学术专著或独自出版学术译著每部计40分。</w:t>
      </w:r>
    </w:p>
    <w:p w14:paraId="798F2087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（6）参加翻译学术著作达</w:t>
      </w:r>
      <w:r>
        <w:rPr>
          <w:rFonts w:ascii="仿宋" w:hAnsi="仿宋" w:eastAsia="仿宋" w:cs="仿宋"/>
          <w:sz w:val="28"/>
          <w:szCs w:val="32"/>
        </w:rPr>
        <w:t>5万字以上</w:t>
      </w:r>
      <w:r>
        <w:rPr>
          <w:rFonts w:hint="eastAsia" w:ascii="仿宋" w:hAnsi="仿宋" w:eastAsia="仿宋" w:cs="仿宋"/>
          <w:sz w:val="28"/>
          <w:szCs w:val="32"/>
        </w:rPr>
        <w:t>计8分，参加翻译学术著作达</w:t>
      </w:r>
      <w:r>
        <w:rPr>
          <w:rFonts w:ascii="仿宋" w:hAnsi="仿宋" w:eastAsia="仿宋" w:cs="仿宋"/>
          <w:sz w:val="28"/>
          <w:szCs w:val="32"/>
        </w:rPr>
        <w:t>2万至5万字</w:t>
      </w:r>
      <w:r>
        <w:rPr>
          <w:rFonts w:hint="eastAsia" w:ascii="仿宋" w:hAnsi="仿宋" w:eastAsia="仿宋" w:cs="仿宋"/>
          <w:sz w:val="28"/>
          <w:szCs w:val="32"/>
        </w:rPr>
        <w:t>计5分。</w:t>
      </w:r>
    </w:p>
    <w:p w14:paraId="02DFDAE0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（7）参加编著学术著作达</w:t>
      </w:r>
      <w:r>
        <w:rPr>
          <w:rFonts w:ascii="仿宋" w:hAnsi="仿宋" w:eastAsia="仿宋" w:cs="仿宋"/>
          <w:sz w:val="28"/>
          <w:szCs w:val="32"/>
        </w:rPr>
        <w:t>10万字以上</w:t>
      </w:r>
      <w:r>
        <w:rPr>
          <w:rFonts w:hint="eastAsia" w:ascii="仿宋" w:hAnsi="仿宋" w:eastAsia="仿宋" w:cs="仿宋"/>
          <w:sz w:val="28"/>
          <w:szCs w:val="32"/>
        </w:rPr>
        <w:t>计6分，参加编著学术著作达</w:t>
      </w:r>
      <w:r>
        <w:rPr>
          <w:rFonts w:ascii="仿宋" w:hAnsi="仿宋" w:eastAsia="仿宋" w:cs="仿宋"/>
          <w:sz w:val="28"/>
          <w:szCs w:val="32"/>
        </w:rPr>
        <w:t>5万至10万字</w:t>
      </w:r>
      <w:r>
        <w:rPr>
          <w:rFonts w:hint="eastAsia" w:ascii="仿宋" w:hAnsi="仿宋" w:eastAsia="仿宋" w:cs="仿宋"/>
          <w:sz w:val="28"/>
          <w:szCs w:val="32"/>
        </w:rPr>
        <w:t>计4分，参加编著学术著作达</w:t>
      </w:r>
      <w:r>
        <w:rPr>
          <w:rFonts w:ascii="仿宋" w:hAnsi="仿宋" w:eastAsia="仿宋" w:cs="仿宋"/>
          <w:sz w:val="28"/>
          <w:szCs w:val="32"/>
        </w:rPr>
        <w:t>2万至5万字</w:t>
      </w:r>
      <w:r>
        <w:rPr>
          <w:rFonts w:hint="eastAsia" w:ascii="仿宋" w:hAnsi="仿宋" w:eastAsia="仿宋" w:cs="仿宋"/>
          <w:sz w:val="28"/>
          <w:szCs w:val="32"/>
        </w:rPr>
        <w:t>计2分。</w:t>
      </w:r>
    </w:p>
    <w:p w14:paraId="60DC725A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（8）参加校级各学院间研究生论文交流会议获奖的论文一等奖8</w:t>
      </w:r>
      <w:r>
        <w:rPr>
          <w:rFonts w:ascii="仿宋" w:hAnsi="仿宋" w:eastAsia="仿宋" w:cs="仿宋"/>
          <w:sz w:val="28"/>
          <w:szCs w:val="32"/>
        </w:rPr>
        <w:t>分/篇；二等奖</w:t>
      </w: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ascii="仿宋" w:hAnsi="仿宋" w:eastAsia="仿宋" w:cs="仿宋"/>
          <w:sz w:val="28"/>
          <w:szCs w:val="32"/>
        </w:rPr>
        <w:t>分/篇；三等奖</w:t>
      </w: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ascii="仿宋" w:hAnsi="仿宋" w:eastAsia="仿宋" w:cs="仿宋"/>
          <w:sz w:val="28"/>
          <w:szCs w:val="32"/>
        </w:rPr>
        <w:t>分/篇；优秀奖</w:t>
      </w: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ascii="仿宋" w:hAnsi="仿宋" w:eastAsia="仿宋" w:cs="仿宋"/>
          <w:sz w:val="28"/>
          <w:szCs w:val="32"/>
        </w:rPr>
        <w:t>分/篇。</w:t>
      </w:r>
    </w:p>
    <w:p w14:paraId="041BE2A2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2.独立或共同获得发明专利、实用新型专利、外观设计专利或软件著作权等（学校/院为第一单位，学生本人为发明（设计）人）</w:t>
      </w:r>
      <w:r>
        <w:rPr>
          <w:rFonts w:hint="eastAsia" w:ascii="仿宋" w:hAnsi="仿宋" w:eastAsia="仿宋" w:cs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：</w:t>
      </w:r>
    </w:p>
    <w:p w14:paraId="3CD2159A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（1）申请发明专利并获授权：每项计10分；</w:t>
      </w:r>
    </w:p>
    <w:p w14:paraId="629389F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（2）获得实用新型专利授权：每项计5分；</w:t>
      </w:r>
    </w:p>
    <w:p w14:paraId="51218EF8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（3）获得软件著作权：每项计5分；</w:t>
      </w:r>
    </w:p>
    <w:p w14:paraId="0F7694B1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（4）获得外观设计专利授权：每项计5分；</w:t>
      </w:r>
    </w:p>
    <w:p w14:paraId="5333008C">
      <w:pPr>
        <w:spacing w:line="360" w:lineRule="auto"/>
        <w:ind w:firstLine="560" w:firstLineChars="200"/>
        <w:rPr>
          <w:rFonts w:ascii="仿宋" w:hAnsi="仿宋" w:eastAsia="仿宋" w:cs="仿宋"/>
          <w:color w:val="FF0000"/>
          <w:sz w:val="28"/>
          <w:szCs w:val="32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（5）注册公司（法人）计5分。</w:t>
      </w:r>
    </w:p>
    <w:p w14:paraId="66A8E82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3.参加学术会议，以报告人或论文第一作者身份作会议报告或交流，国际性会议计8分，全国性会议计5分，校级会议计3分，院级计2分，以会议邀请或参会论文为准。</w:t>
      </w:r>
    </w:p>
    <w:p w14:paraId="78E00712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参加大学生科技发明等知识技能活动，在国家级比赛中获得奖励者，按照一、二、三等奖分别计5、4、3分；在省级获得奖励者，按照一、二、三等奖分别计3、2、1分；在学校获得奖励者，按照一、二、三等奖分别计1、0.5、0.3分。</w:t>
      </w:r>
    </w:p>
    <w:p w14:paraId="457C3FFD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注：</w:t>
      </w:r>
    </w:p>
    <w:p w14:paraId="4AAFAFE4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（1）</w:t>
      </w:r>
      <w:r>
        <w:rPr>
          <w:rFonts w:ascii="仿宋" w:hAnsi="仿宋" w:eastAsia="仿宋" w:cs="仿宋"/>
          <w:sz w:val="28"/>
          <w:szCs w:val="32"/>
        </w:rPr>
        <w:t>著述（含会议论文、参与项目）须提供原件。</w:t>
      </w:r>
    </w:p>
    <w:p w14:paraId="50FB95A5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（2）</w:t>
      </w:r>
      <w:r>
        <w:rPr>
          <w:rFonts w:ascii="仿宋" w:hAnsi="仿宋" w:eastAsia="仿宋" w:cs="仿宋"/>
          <w:sz w:val="28"/>
          <w:szCs w:val="32"/>
        </w:rPr>
        <w:t>同一论文被不同刊物收录（转载），以最高级别刊物加分，不累加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5EA8B048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（3）</w:t>
      </w:r>
      <w:r>
        <w:rPr>
          <w:rFonts w:ascii="仿宋" w:hAnsi="仿宋" w:eastAsia="仿宋" w:cs="仿宋"/>
          <w:sz w:val="28"/>
          <w:szCs w:val="32"/>
        </w:rPr>
        <w:t>所有成果加分均</w:t>
      </w:r>
      <w:r>
        <w:rPr>
          <w:rFonts w:hint="eastAsia" w:ascii="仿宋" w:hAnsi="仿宋" w:eastAsia="仿宋" w:cs="仿宋"/>
          <w:sz w:val="28"/>
          <w:szCs w:val="32"/>
        </w:rPr>
        <w:t>提供书籍原件</w:t>
      </w:r>
      <w:r>
        <w:rPr>
          <w:rFonts w:ascii="仿宋" w:hAnsi="仿宋" w:eastAsia="仿宋" w:cs="仿宋"/>
          <w:sz w:val="28"/>
          <w:szCs w:val="32"/>
        </w:rPr>
        <w:t>，否则不得加分；参编、翻译著作文字在2万字以下的，不加分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087FB617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（4）</w:t>
      </w:r>
      <w:r>
        <w:rPr>
          <w:rFonts w:ascii="仿宋" w:hAnsi="仿宋" w:eastAsia="仿宋" w:cs="仿宋"/>
          <w:sz w:val="28"/>
          <w:szCs w:val="32"/>
        </w:rPr>
        <w:t>会议宣读论文必须有录入该文的大会议程和论文集（论文集光盘）；收入论文集的必须有论文集（论文集光盘），否则不予加分。同一论文在不同的学术会议上宣读或收录，计最高分，不累加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26795478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（5）</w:t>
      </w:r>
      <w:r>
        <w:rPr>
          <w:rFonts w:ascii="仿宋" w:hAnsi="仿宋" w:eastAsia="仿宋" w:cs="仿宋"/>
          <w:sz w:val="28"/>
          <w:szCs w:val="32"/>
        </w:rPr>
        <w:t>论文增刊、副刊一律不加分；</w:t>
      </w:r>
      <w:r>
        <w:rPr>
          <w:rFonts w:hint="eastAsia" w:ascii="仿宋" w:hAnsi="仿宋" w:eastAsia="仿宋" w:cs="仿宋"/>
          <w:sz w:val="28"/>
          <w:szCs w:val="32"/>
        </w:rPr>
        <w:t>同一科研成果获不同级别奖励，取最高分计，不累加。</w:t>
      </w:r>
    </w:p>
    <w:p w14:paraId="17AA3758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（6）</w:t>
      </w:r>
      <w:r>
        <w:rPr>
          <w:rFonts w:ascii="仿宋" w:hAnsi="仿宋" w:eastAsia="仿宋" w:cs="仿宋"/>
          <w:sz w:val="28"/>
          <w:szCs w:val="32"/>
        </w:rPr>
        <w:t>若该科研成果只有一位作者，则享受该成果第一作者得分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7819E3D6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（7）</w:t>
      </w:r>
      <w:r>
        <w:rPr>
          <w:rFonts w:ascii="仿宋" w:hAnsi="仿宋" w:eastAsia="仿宋" w:cs="仿宋"/>
          <w:sz w:val="28"/>
          <w:szCs w:val="32"/>
        </w:rPr>
        <w:t>若科研成果是合作项目，研究生获得其相应排名得分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144683C7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（8）</w:t>
      </w:r>
      <w:r>
        <w:rPr>
          <w:rFonts w:ascii="仿宋" w:hAnsi="仿宋" w:eastAsia="仿宋" w:cs="仿宋"/>
          <w:sz w:val="28"/>
          <w:szCs w:val="32"/>
        </w:rPr>
        <w:t>若获奖科研成果公开发表，取最高分计，不累加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703A26A8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（9）</w:t>
      </w:r>
      <w:r>
        <w:rPr>
          <w:rFonts w:ascii="仿宋" w:hAnsi="仿宋" w:eastAsia="仿宋" w:cs="仿宋"/>
          <w:sz w:val="28"/>
          <w:szCs w:val="32"/>
        </w:rPr>
        <w:t>获国家发明专利成果应有专利证书，若该专利获得其他科研奖励者，以最高分计，不累加</w:t>
      </w:r>
      <w:r>
        <w:rPr>
          <w:rFonts w:hint="eastAsia" w:ascii="仿宋" w:hAnsi="仿宋" w:eastAsia="仿宋" w:cs="仿宋"/>
          <w:sz w:val="28"/>
          <w:szCs w:val="32"/>
        </w:rPr>
        <w:t>。</w:t>
      </w:r>
    </w:p>
    <w:p w14:paraId="01E9F22C">
      <w:pPr>
        <w:spacing w:line="360" w:lineRule="auto"/>
        <w:rPr>
          <w:rFonts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四、专业实践（C）</w:t>
      </w:r>
    </w:p>
    <w:p w14:paraId="06FC2E45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专业实践满分100分，按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20%</w:t>
      </w:r>
      <w:r>
        <w:rPr>
          <w:rFonts w:hint="eastAsia" w:ascii="仿宋" w:hAnsi="仿宋" w:eastAsia="仿宋" w:cs="仿宋"/>
          <w:sz w:val="28"/>
          <w:szCs w:val="32"/>
        </w:rPr>
        <w:t>权重合成计入总成绩。测评内容主要包括研究生在专业实践方面取得的成绩，由基本分、专业实践成果奖励加分两个部分组成。</w:t>
      </w:r>
    </w:p>
    <w:p w14:paraId="1387CDF6">
      <w:pPr>
        <w:spacing w:line="360" w:lineRule="auto"/>
        <w:rPr>
          <w:rFonts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（一）基本分（满分60分）</w:t>
      </w:r>
    </w:p>
    <w:p w14:paraId="5BF50603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基本分由研究生导师（含联合培养导师等）负责评分。低年级研究生重点考察实践精神和实践潜力，高年级研究生重点考察专业实践工作的实际表现。</w:t>
      </w:r>
    </w:p>
    <w:p w14:paraId="61F47FC3">
      <w:pPr>
        <w:spacing w:line="360" w:lineRule="auto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（二）成果加分（满分40分）</w:t>
      </w:r>
      <w:r>
        <w:rPr>
          <w:rFonts w:hint="eastAsia" w:ascii="仿宋" w:hAnsi="仿宋" w:eastAsia="仿宋" w:cs="仿宋"/>
          <w:sz w:val="28"/>
          <w:szCs w:val="32"/>
        </w:rPr>
        <w:t>，具体评价标准如下：</w:t>
      </w:r>
    </w:p>
    <w:p w14:paraId="7BD635C0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专业实践成果主要包括：学科竞赛获奖证书、口（笔）译资格证书等。</w:t>
      </w:r>
    </w:p>
    <w:p w14:paraId="63D905C0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.在全国学科竞赛中获得奖励者，按照一、二、三等及优秀奖的梯度分别计5、3.5、3、2分；在省级学科竞赛中获得奖励者，按照一、二、三等及优秀奖的梯度分别计3、2.5、2、1.5分；在校级学科竞赛中获得奖励者，按照一、二、三等及优秀奖的梯度分别计2、1.5、1、0.5分；在院级学科竞赛中获得奖励者，按照一、二、三等及优秀奖的梯度分别计1、0.5、0.2、0.1分。（若赛事组奖项设置为特等奖、一等奖、二等奖、三等奖，则对应分数与上述分数中一、二、三等奖及优秀奖对应）。</w:t>
      </w:r>
    </w:p>
    <w:p w14:paraId="17BE9276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2.获得上海外语高级口译证书计3分，获得上海外语中级口译证书计2分；获得CATTI、NAETI等翻译证书二级笔译/口译证书计8分，三级笔译/口译证书计3分；</w:t>
      </w:r>
    </w:p>
    <w:p w14:paraId="05056813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3.获得BEC剑桥高级商务英语证书计2分，中级商务英语证书计1分；参加雅思、托福考试，达到雅思7.0或者托福100分计2分，达到雅思6.5或者托福90分计1分；</w:t>
      </w:r>
    </w:p>
    <w:p w14:paraId="3B766503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4.获得初高中教师资格证、全国计算机等级证书等均计1分；</w:t>
      </w:r>
    </w:p>
    <w:p w14:paraId="480E0233">
      <w:pPr>
        <w:pStyle w:val="7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5.通过全国大学生英语六级考试且成绩达600及以上计1分，小语种四六级考试60分及以上计1分，80分及以上计2分。</w:t>
      </w:r>
    </w:p>
    <w:p w14:paraId="5C773DC3">
      <w:pPr>
        <w:spacing w:line="360" w:lineRule="auto"/>
        <w:rPr>
          <w:rFonts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五、扣分项（D）</w:t>
      </w:r>
    </w:p>
    <w:p w14:paraId="65893682"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主要内容包括测评年度内：</w:t>
      </w:r>
    </w:p>
    <w:p w14:paraId="5BFCFCCE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1.学术研究中违反学术道德行为视情况扣分，最低不少于20分；</w:t>
      </w:r>
    </w:p>
    <w:p w14:paraId="137B540A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2.申请材料中弄虚作假者扣20分；</w:t>
      </w:r>
    </w:p>
    <w:p w14:paraId="7D53B801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3.</w:t>
      </w:r>
      <w:r>
        <w:rPr>
          <w:rFonts w:ascii="仿宋" w:hAnsi="仿宋" w:eastAsia="仿宋" w:cs="仿宋"/>
          <w:sz w:val="28"/>
          <w:szCs w:val="32"/>
        </w:rPr>
        <w:t>在学习或科研工作中，因个人主观行为给学校带来严重损失者</w:t>
      </w:r>
      <w:r>
        <w:rPr>
          <w:rFonts w:hint="eastAsia" w:ascii="仿宋" w:hAnsi="仿宋" w:eastAsia="仿宋" w:cs="仿宋"/>
          <w:sz w:val="28"/>
          <w:szCs w:val="32"/>
        </w:rPr>
        <w:t>扣20分</w:t>
      </w:r>
      <w:r>
        <w:rPr>
          <w:rFonts w:ascii="仿宋" w:hAnsi="仿宋" w:eastAsia="仿宋" w:cs="仿宋"/>
          <w:sz w:val="28"/>
          <w:szCs w:val="32"/>
        </w:rPr>
        <w:t>；</w:t>
      </w:r>
    </w:p>
    <w:p w14:paraId="0FC6FD4C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4.学位论文开题报告不能按时完成者扣5分。</w:t>
      </w:r>
    </w:p>
    <w:p w14:paraId="5FEFF4B2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5.学位论文（专业实践）第一次中期检查未通过者扣5分；</w:t>
      </w:r>
    </w:p>
    <w:p w14:paraId="138B3153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6.未完成培养方案规定的学术报告、学术交流、专业实践等学习环节（以学校、院所活动记录为依据）扣5分。</w:t>
      </w:r>
    </w:p>
    <w:p w14:paraId="5DEFFCC4">
      <w:pPr>
        <w:pStyle w:val="12"/>
        <w:spacing w:line="360" w:lineRule="auto"/>
        <w:ind w:firstLine="560"/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7.年度内课程有不及格未通过者每门次扣2分。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iZmFmNzAzODM5Njc5OWNkNjVhZmFhZDQ4ZDE3ZjMifQ=="/>
  </w:docVars>
  <w:rsids>
    <w:rsidRoot w:val="00ED1C30"/>
    <w:rsid w:val="00025F78"/>
    <w:rsid w:val="000E249D"/>
    <w:rsid w:val="003976C8"/>
    <w:rsid w:val="003A1C7B"/>
    <w:rsid w:val="00464E15"/>
    <w:rsid w:val="004A5A0D"/>
    <w:rsid w:val="005F2D47"/>
    <w:rsid w:val="00724CD6"/>
    <w:rsid w:val="00923A35"/>
    <w:rsid w:val="00B6775F"/>
    <w:rsid w:val="00C8269C"/>
    <w:rsid w:val="00E1125C"/>
    <w:rsid w:val="00ED1C30"/>
    <w:rsid w:val="00F60604"/>
    <w:rsid w:val="054D6071"/>
    <w:rsid w:val="0A21682E"/>
    <w:rsid w:val="15717A2E"/>
    <w:rsid w:val="16B84ACF"/>
    <w:rsid w:val="1C153F9E"/>
    <w:rsid w:val="1FC3227C"/>
    <w:rsid w:val="2F856680"/>
    <w:rsid w:val="49470F79"/>
    <w:rsid w:val="531E7FA0"/>
    <w:rsid w:val="60BB31DF"/>
    <w:rsid w:val="66282455"/>
    <w:rsid w:val="72AB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styleId="10">
    <w:name w:val="Placeholder Text"/>
    <w:basedOn w:val="6"/>
    <w:unhideWhenUsed/>
    <w:qFormat/>
    <w:uiPriority w:val="99"/>
    <w:rPr>
      <w:color w:val="808080"/>
    </w:r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08C30-A922-4DA6-A0FE-61A60EF636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2586</Words>
  <Characters>2726</Characters>
  <Lines>19</Lines>
  <Paragraphs>5</Paragraphs>
  <TotalTime>12</TotalTime>
  <ScaleCrop>false</ScaleCrop>
  <LinksUpToDate>false</LinksUpToDate>
  <CharactersWithSpaces>2746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2022-04-02T19:44:00Z</dcterms:created>
  <dc:creator>Chen Ting</dc:creator>
  <cp:lastModifiedBy>喝啥呦</cp:lastModifiedBy>
  <cp:lastPrinted>2022-05-19T01:20:00Z</cp:lastPrinted>
  <dcterms:modified xsi:type="dcterms:W3CDTF">2024-09-29T02:18:15Z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635C50475DA1AEF7CDAE64620623140A</vt:lpwstr>
  </property>
  <property fmtid="{D5CDD505-2E9C-101B-9397-08002B2CF9AE}" pid="3" name="KSOProductBuildVer">
    <vt:lpwstr>2052-12.1.0.18276</vt:lpwstr>
  </property>
  <property fmtid="{D5CDD505-2E9C-101B-9397-08002B2CF9AE}" pid="4" name="commondata">
    <vt:lpwstr>eyJoZGlkIjoiNjNmZmFhMGRkOTg2NDIzNzU2NjI3MzRmMjVhYTMwYmMifQ==</vt:lpwstr>
  </property>
</Properties>
</file>